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Pr="00CF2808" w:rsidRDefault="0021235B"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w:t>
      </w:r>
      <w:r w:rsidR="007E38B4">
        <w:rPr>
          <w:rFonts w:ascii="Gill Sans MT" w:hAnsi="Gill Sans MT" w:cs="Arial"/>
          <w:b w:val="0"/>
          <w:sz w:val="24"/>
          <w:szCs w:val="24"/>
        </w:rPr>
        <w:t>Monday</w:t>
      </w:r>
      <w:r w:rsidRPr="00CF2808">
        <w:rPr>
          <w:rFonts w:ascii="Gill Sans MT" w:hAnsi="Gill Sans MT" w:cs="Arial"/>
          <w:b w:val="0"/>
          <w:sz w:val="24"/>
          <w:szCs w:val="24"/>
        </w:rPr>
        <w:t xml:space="preserve">, </w:t>
      </w:r>
      <w:r w:rsidR="001E2325">
        <w:rPr>
          <w:rFonts w:ascii="Gill Sans MT" w:hAnsi="Gill Sans MT" w:cs="Arial"/>
          <w:b w:val="0"/>
          <w:sz w:val="24"/>
          <w:szCs w:val="24"/>
        </w:rPr>
        <w:t>July</w:t>
      </w:r>
      <w:r w:rsidR="00A00DB9">
        <w:rPr>
          <w:rFonts w:ascii="Gill Sans MT" w:hAnsi="Gill Sans MT" w:cs="Arial"/>
          <w:b w:val="0"/>
          <w:sz w:val="24"/>
          <w:szCs w:val="24"/>
        </w:rPr>
        <w:t xml:space="preserve"> </w:t>
      </w:r>
      <w:r w:rsidR="001E2325">
        <w:rPr>
          <w:rFonts w:ascii="Gill Sans MT" w:hAnsi="Gill Sans MT" w:cs="Arial"/>
          <w:b w:val="0"/>
          <w:sz w:val="24"/>
          <w:szCs w:val="24"/>
        </w:rPr>
        <w:t>6</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0095639F" w:rsidRPr="00CF2808">
        <w:rPr>
          <w:rFonts w:ascii="Gill Sans MT" w:hAnsi="Gill Sans MT" w:cs="Arial"/>
          <w:b w:val="0"/>
          <w:sz w:val="24"/>
          <w:szCs w:val="24"/>
        </w:rPr>
        <w:t>Commissioner Ken Travis</w:t>
      </w:r>
      <w:r>
        <w:rPr>
          <w:rFonts w:ascii="Gill Sans MT" w:hAnsi="Gill Sans MT" w:cs="Arial"/>
          <w:b w:val="0"/>
          <w:sz w:val="24"/>
          <w:szCs w:val="24"/>
        </w:rPr>
        <w:t>,</w:t>
      </w:r>
      <w:r w:rsidR="0095639F" w:rsidRPr="00CF2808">
        <w:rPr>
          <w:rFonts w:ascii="Gill Sans MT" w:hAnsi="Gill Sans MT" w:cs="Arial"/>
          <w:b w:val="0"/>
          <w:sz w:val="24"/>
          <w:szCs w:val="24"/>
        </w:rPr>
        <w:t xml:space="preserve"> </w:t>
      </w:r>
      <w:r w:rsidR="00BF1301">
        <w:rPr>
          <w:rFonts w:ascii="Gill Sans MT" w:hAnsi="Gill Sans MT" w:cs="Arial"/>
          <w:b w:val="0"/>
          <w:sz w:val="24"/>
          <w:szCs w:val="24"/>
        </w:rPr>
        <w:t xml:space="preserve">Preston Bain, </w:t>
      </w:r>
      <w:r w:rsidR="002A322D">
        <w:rPr>
          <w:rFonts w:ascii="Gill Sans MT" w:hAnsi="Gill Sans MT" w:cs="Arial"/>
          <w:b w:val="0"/>
          <w:sz w:val="24"/>
          <w:szCs w:val="24"/>
        </w:rPr>
        <w:t xml:space="preserve">Chris Clark, </w:t>
      </w:r>
      <w:r w:rsidR="00AE3001" w:rsidRPr="00CF2808">
        <w:rPr>
          <w:rFonts w:ascii="Gill Sans MT" w:hAnsi="Gill Sans MT" w:cs="Arial"/>
          <w:b w:val="0"/>
          <w:sz w:val="24"/>
          <w:szCs w:val="24"/>
        </w:rPr>
        <w:t xml:space="preserve">Carol Crigger, </w:t>
      </w:r>
      <w:r w:rsidR="0095639F" w:rsidRPr="00CF2808">
        <w:rPr>
          <w:rFonts w:ascii="Gill Sans MT" w:hAnsi="Gill Sans MT" w:cs="Arial"/>
          <w:b w:val="0"/>
          <w:sz w:val="24"/>
          <w:szCs w:val="24"/>
        </w:rPr>
        <w:t xml:space="preserve">Michael Kaplan, </w:t>
      </w:r>
      <w:r w:rsidR="00AE3001" w:rsidRPr="00CF2808">
        <w:rPr>
          <w:rFonts w:ascii="Gill Sans MT" w:hAnsi="Gill Sans MT" w:cs="Arial"/>
          <w:b w:val="0"/>
          <w:sz w:val="24"/>
          <w:szCs w:val="24"/>
        </w:rPr>
        <w:t xml:space="preserve">John Magyar, </w:t>
      </w:r>
      <w:r w:rsidR="002729C7" w:rsidRPr="00CF2808">
        <w:rPr>
          <w:rFonts w:ascii="Gill Sans MT" w:hAnsi="Gill Sans MT" w:cs="Arial"/>
          <w:b w:val="0"/>
          <w:sz w:val="24"/>
          <w:szCs w:val="24"/>
        </w:rPr>
        <w:t xml:space="preserve">Brandon Oliver, </w:t>
      </w:r>
      <w:r w:rsidR="0095639F" w:rsidRPr="00CF2808">
        <w:rPr>
          <w:rFonts w:ascii="Gill Sans MT" w:hAnsi="Gill Sans MT" w:cs="Arial"/>
          <w:b w:val="0"/>
          <w:sz w:val="24"/>
          <w:szCs w:val="24"/>
        </w:rPr>
        <w:t>Stevan Pippin and Sonna Robinson.</w:t>
      </w:r>
      <w:r>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BF1301">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 &amp; 51</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Pr="00CF2808" w:rsidRDefault="00C11139" w:rsidP="0095639F">
      <w:pPr>
        <w:pStyle w:val="Title"/>
        <w:widowControl w:val="0"/>
        <w:tabs>
          <w:tab w:val="left" w:pos="1080"/>
        </w:tabs>
        <w:jc w:val="both"/>
        <w:rPr>
          <w:rFonts w:ascii="Gill Sans MT" w:hAnsi="Gill Sans MT" w:cs="Arial"/>
          <w:b w:val="0"/>
          <w:sz w:val="24"/>
          <w:szCs w:val="24"/>
        </w:rPr>
      </w:pPr>
    </w:p>
    <w:p w:rsidR="00537521" w:rsidRPr="00CF2808" w:rsidRDefault="00BF130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Mr. Pippin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sidR="001E2325">
        <w:rPr>
          <w:rFonts w:ascii="Gill Sans MT" w:hAnsi="Gill Sans MT" w:cs="Arial"/>
          <w:b w:val="0"/>
          <w:sz w:val="24"/>
          <w:szCs w:val="24"/>
        </w:rPr>
        <w:t>June 1</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Mr. Oliver</w:t>
      </w:r>
      <w:r w:rsidR="00A60008" w:rsidRPr="00CF2808">
        <w:rPr>
          <w:rFonts w:ascii="Gill Sans MT" w:hAnsi="Gill Sans MT" w:cs="Arial"/>
          <w:b w:val="0"/>
          <w:sz w:val="24"/>
          <w:szCs w:val="24"/>
        </w:rPr>
        <w:t xml:space="preserve">.  </w:t>
      </w:r>
      <w:r>
        <w:rPr>
          <w:rStyle w:val="AGENDA1"/>
          <w:rFonts w:ascii="Gill Sans MT" w:hAnsi="Gill Sans MT"/>
          <w:i w:val="0"/>
          <w:color w:val="auto"/>
          <w:szCs w:val="24"/>
        </w:rPr>
        <w:t>M</w:t>
      </w:r>
      <w:r w:rsidRPr="00CF2808">
        <w:rPr>
          <w:rStyle w:val="AGENDA1"/>
          <w:rFonts w:ascii="Gill Sans MT" w:hAnsi="Gill Sans MT"/>
          <w:i w:val="0"/>
          <w:color w:val="auto"/>
          <w:szCs w:val="24"/>
        </w:rPr>
        <w:t>otion was approved unanimously.</w:t>
      </w:r>
    </w:p>
    <w:p w:rsidR="00337737" w:rsidRDefault="00337737"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0020B" w:rsidRPr="00CF2808" w:rsidRDefault="00760FAA" w:rsidP="0025080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1E2325" w:rsidRPr="001E2325">
        <w:rPr>
          <w:rStyle w:val="PageNumber"/>
          <w:rFonts w:ascii="Gill Sans MT" w:hAnsi="Gill Sans MT" w:cs="Arial"/>
          <w:b/>
          <w:szCs w:val="24"/>
        </w:rPr>
        <w:t>BPC2006-001</w:t>
      </w:r>
      <w:r w:rsidR="001E2325">
        <w:rPr>
          <w:rStyle w:val="PageNumber"/>
          <w:rFonts w:ascii="Gill Sans MT" w:hAnsi="Gill Sans MT" w:cs="Arial"/>
          <w:b/>
          <w:szCs w:val="24"/>
        </w:rPr>
        <w:t xml:space="preserve"> </w:t>
      </w:r>
      <w:r w:rsidR="001E2325" w:rsidRPr="001E2325">
        <w:rPr>
          <w:rStyle w:val="PageNumber"/>
          <w:rFonts w:ascii="Gill Sans MT" w:hAnsi="Gill Sans MT" w:cs="Arial"/>
          <w:b/>
          <w:szCs w:val="24"/>
        </w:rPr>
        <w:t>Revised Hillside Protection Overlay Site Plan Review – Witherspoon Subdivision, Section Four, Lot 47, 9252 Lehigh Drive, Zoning</w:t>
      </w:r>
    </w:p>
    <w:p w:rsidR="00760FAA" w:rsidRPr="00CF2808" w:rsidRDefault="00760FAA" w:rsidP="00760FAA">
      <w:pPr>
        <w:snapToGrid w:val="0"/>
        <w:contextualSpacing/>
        <w:jc w:val="both"/>
        <w:rPr>
          <w:rStyle w:val="AGENDA1"/>
          <w:rFonts w:ascii="Gill Sans MT" w:hAnsi="Gill Sans MT"/>
          <w:i w:val="0"/>
          <w:color w:val="auto"/>
          <w:szCs w:val="24"/>
        </w:rPr>
      </w:pPr>
    </w:p>
    <w:p w:rsidR="001E2325" w:rsidRPr="001E2325" w:rsidRDefault="001E2325" w:rsidP="001E2325">
      <w:pPr>
        <w:snapToGrid w:val="0"/>
        <w:jc w:val="both"/>
        <w:rPr>
          <w:rStyle w:val="AGENDA1"/>
          <w:rFonts w:ascii="Gill Sans MT" w:hAnsi="Gill Sans MT"/>
          <w:b w:val="0"/>
          <w:i w:val="0"/>
          <w:color w:val="000000" w:themeColor="text1"/>
        </w:rPr>
      </w:pPr>
      <w:r w:rsidRPr="001E2325">
        <w:rPr>
          <w:rStyle w:val="AGENDA1"/>
          <w:rFonts w:ascii="Gill Sans MT" w:hAnsi="Gill Sans MT"/>
          <w:b w:val="0"/>
          <w:i w:val="0"/>
          <w:color w:val="000000" w:themeColor="text1"/>
        </w:rPr>
        <w:t>Schumacher Homes, LLC request</w:t>
      </w:r>
      <w:r w:rsidR="00737419">
        <w:rPr>
          <w:rStyle w:val="AGENDA1"/>
          <w:rFonts w:ascii="Gill Sans MT" w:hAnsi="Gill Sans MT"/>
          <w:b w:val="0"/>
          <w:i w:val="0"/>
          <w:color w:val="000000" w:themeColor="text1"/>
        </w:rPr>
        <w:t>ed</w:t>
      </w:r>
      <w:r w:rsidRPr="001E2325">
        <w:rPr>
          <w:rStyle w:val="AGENDA1"/>
          <w:rFonts w:ascii="Gill Sans MT" w:hAnsi="Gill Sans MT"/>
          <w:b w:val="0"/>
          <w:i w:val="0"/>
          <w:color w:val="000000" w:themeColor="text1"/>
        </w:rPr>
        <w:t xml:space="preserve"> approval of a revised Hillside Protection Overlay Site plan.</w:t>
      </w:r>
    </w:p>
    <w:p w:rsidR="001E2325" w:rsidRPr="001E2325" w:rsidRDefault="001E2325" w:rsidP="001E2325">
      <w:pPr>
        <w:jc w:val="both"/>
        <w:rPr>
          <w:rFonts w:ascii="Arial" w:hAnsi="Arial" w:cs="Arial"/>
          <w:i/>
          <w:szCs w:val="24"/>
        </w:rPr>
      </w:pPr>
    </w:p>
    <w:tbl>
      <w:tblPr>
        <w:tblStyle w:val="TableGrid2"/>
        <w:tblW w:w="0" w:type="auto"/>
        <w:jc w:val="center"/>
        <w:tblLook w:val="04A0" w:firstRow="1" w:lastRow="0" w:firstColumn="1" w:lastColumn="0" w:noHBand="0" w:noVBand="1"/>
      </w:tblPr>
      <w:tblGrid>
        <w:gridCol w:w="3069"/>
        <w:gridCol w:w="2610"/>
      </w:tblGrid>
      <w:tr w:rsidR="001E2325" w:rsidRPr="001E2325" w:rsidTr="00240EDD">
        <w:trPr>
          <w:jc w:val="center"/>
        </w:trPr>
        <w:tc>
          <w:tcPr>
            <w:tcW w:w="5679" w:type="dxa"/>
            <w:gridSpan w:val="2"/>
            <w:shd w:val="clear" w:color="auto" w:fill="D9D9D9" w:themeFill="background1" w:themeFillShade="D9"/>
          </w:tcPr>
          <w:p w:rsidR="001E2325" w:rsidRPr="001E2325" w:rsidRDefault="001E2325" w:rsidP="001E2325">
            <w:pPr>
              <w:snapToGrid w:val="0"/>
              <w:jc w:val="center"/>
              <w:rPr>
                <w:rFonts w:ascii="Gill Sans MT" w:hAnsi="Gill Sans MT"/>
                <w:b/>
                <w:i/>
              </w:rPr>
            </w:pPr>
            <w:r w:rsidRPr="001E2325">
              <w:rPr>
                <w:rFonts w:ascii="Gill Sans MT" w:hAnsi="Gill Sans MT"/>
                <w:b/>
                <w:i/>
              </w:rPr>
              <w:t xml:space="preserve">WITHERSPOON, LOT 47 – 9252 LEHIGH DR. </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Lot Area (ac)</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3.43</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Total Area of Home (sf)</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11,092</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Heated Area (sf)</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8,110</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Impervious Area (sf)</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20,386</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Green Space Provided (%)</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86.34</w:t>
            </w:r>
          </w:p>
        </w:tc>
      </w:tr>
      <w:tr w:rsidR="001E2325" w:rsidRPr="001E2325" w:rsidTr="00240EDD">
        <w:trPr>
          <w:jc w:val="center"/>
        </w:trPr>
        <w:tc>
          <w:tcPr>
            <w:tcW w:w="3069" w:type="dxa"/>
            <w:vAlign w:val="center"/>
          </w:tcPr>
          <w:p w:rsidR="001E2325" w:rsidRPr="001E2325" w:rsidRDefault="001E2325" w:rsidP="001E2325">
            <w:pPr>
              <w:snapToGrid w:val="0"/>
              <w:rPr>
                <w:rFonts w:ascii="Gill Sans MT" w:hAnsi="Gill Sans MT"/>
                <w:i/>
              </w:rPr>
            </w:pPr>
            <w:r w:rsidRPr="001E2325">
              <w:rPr>
                <w:rFonts w:ascii="Gill Sans MT" w:hAnsi="Gill Sans MT"/>
                <w:i/>
              </w:rPr>
              <w:t>Green Space Required (%)</w:t>
            </w:r>
          </w:p>
        </w:tc>
        <w:tc>
          <w:tcPr>
            <w:tcW w:w="2610" w:type="dxa"/>
            <w:vAlign w:val="center"/>
          </w:tcPr>
          <w:p w:rsidR="001E2325" w:rsidRPr="001E2325" w:rsidRDefault="001E2325" w:rsidP="001E2325">
            <w:pPr>
              <w:snapToGrid w:val="0"/>
              <w:jc w:val="right"/>
              <w:rPr>
                <w:rFonts w:ascii="Gill Sans MT" w:hAnsi="Gill Sans MT"/>
                <w:i/>
              </w:rPr>
            </w:pPr>
            <w:r w:rsidRPr="001E2325">
              <w:rPr>
                <w:rFonts w:ascii="Gill Sans MT" w:hAnsi="Gill Sans MT"/>
                <w:i/>
              </w:rPr>
              <w:t>40%</w:t>
            </w:r>
          </w:p>
        </w:tc>
      </w:tr>
    </w:tbl>
    <w:p w:rsidR="001E2325" w:rsidRPr="001E2325" w:rsidRDefault="001E2325" w:rsidP="001E2325">
      <w:pPr>
        <w:jc w:val="both"/>
        <w:rPr>
          <w:rFonts w:ascii="Arial" w:hAnsi="Arial" w:cs="Arial"/>
          <w:i/>
          <w:szCs w:val="24"/>
        </w:rPr>
      </w:pPr>
    </w:p>
    <w:p w:rsidR="001E2325" w:rsidRPr="001E2325" w:rsidRDefault="001E2325" w:rsidP="001E2325">
      <w:pPr>
        <w:jc w:val="both"/>
        <w:rPr>
          <w:rFonts w:ascii="Arial" w:hAnsi="Arial" w:cs="Arial"/>
          <w:i/>
          <w:szCs w:val="24"/>
        </w:rPr>
      </w:pPr>
      <w:r w:rsidRPr="001E2325">
        <w:rPr>
          <w:rStyle w:val="AGENDA1"/>
          <w:rFonts w:ascii="Gill Sans MT" w:hAnsi="Gill Sans MT"/>
          <w:b w:val="0"/>
          <w:bCs/>
          <w:i w:val="0"/>
          <w:iCs/>
          <w:color w:val="000000" w:themeColor="text1"/>
        </w:rPr>
        <w:t>The proposed house will be painted white brick with dark accents</w:t>
      </w:r>
      <w:r w:rsidRPr="001E2325">
        <w:rPr>
          <w:rFonts w:ascii="Arial" w:hAnsi="Arial" w:cs="Arial"/>
          <w:i/>
          <w:szCs w:val="24"/>
        </w:rPr>
        <w:t xml:space="preserve">.  </w:t>
      </w:r>
    </w:p>
    <w:p w:rsidR="00D705E4" w:rsidRDefault="00D705E4" w:rsidP="00760FAA">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D705E4" w:rsidRPr="00D705E4">
        <w:rPr>
          <w:rStyle w:val="AGENDA1"/>
          <w:rFonts w:ascii="Gill Sans MT" w:hAnsi="Gill Sans MT"/>
          <w:b w:val="0"/>
          <w:i w:val="0"/>
          <w:color w:val="000000" w:themeColor="text1"/>
          <w:szCs w:val="24"/>
        </w:rPr>
        <w:t>proposed revis</w:t>
      </w:r>
      <w:r w:rsidR="001E2325">
        <w:rPr>
          <w:rStyle w:val="AGENDA1"/>
          <w:rFonts w:ascii="Gill Sans MT" w:hAnsi="Gill Sans MT"/>
          <w:b w:val="0"/>
          <w:i w:val="0"/>
          <w:color w:val="000000" w:themeColor="text1"/>
          <w:szCs w:val="24"/>
        </w:rPr>
        <w:t>ed</w:t>
      </w:r>
      <w:r w:rsidR="00D705E4" w:rsidRPr="00D705E4">
        <w:rPr>
          <w:rStyle w:val="AGENDA1"/>
          <w:rFonts w:ascii="Gill Sans MT" w:hAnsi="Gill Sans MT"/>
          <w:b w:val="0"/>
          <w:i w:val="0"/>
          <w:color w:val="000000" w:themeColor="text1"/>
          <w:szCs w:val="24"/>
        </w:rPr>
        <w:t xml:space="preserve"> </w:t>
      </w:r>
      <w:r w:rsidR="006C3B05">
        <w:rPr>
          <w:rStyle w:val="AGENDA1"/>
          <w:rFonts w:ascii="Gill Sans MT" w:hAnsi="Gill Sans MT"/>
          <w:b w:val="0"/>
          <w:i w:val="0"/>
          <w:color w:val="000000" w:themeColor="text1"/>
          <w:szCs w:val="24"/>
        </w:rPr>
        <w:t>hillside protection overlay site</w:t>
      </w:r>
      <w:r w:rsidR="00D705E4" w:rsidRPr="00D705E4">
        <w:rPr>
          <w:rStyle w:val="AGENDA1"/>
          <w:rFonts w:ascii="Gill Sans MT" w:hAnsi="Gill Sans MT"/>
          <w:b w:val="0"/>
          <w:i w:val="0"/>
          <w:color w:val="000000" w:themeColor="text1"/>
          <w:szCs w:val="24"/>
        </w:rPr>
        <w:t xml:space="preserve"> plan </w:t>
      </w:r>
      <w:r w:rsidRPr="00CF2808">
        <w:rPr>
          <w:rStyle w:val="AGENDA1"/>
          <w:rFonts w:ascii="Gill Sans MT" w:hAnsi="Gill Sans MT"/>
          <w:b w:val="0"/>
          <w:i w:val="0"/>
          <w:color w:val="000000" w:themeColor="text1"/>
          <w:szCs w:val="24"/>
        </w:rPr>
        <w:t>subject to the following conditions:</w:t>
      </w:r>
    </w:p>
    <w:p w:rsidR="00760FAA" w:rsidRPr="00CF2808" w:rsidRDefault="00760FAA" w:rsidP="00760FAA">
      <w:pPr>
        <w:snapToGrid w:val="0"/>
        <w:jc w:val="both"/>
        <w:rPr>
          <w:rStyle w:val="AGENDA1"/>
          <w:rFonts w:ascii="Gill Sans MT" w:hAnsi="Gill Sans MT"/>
          <w:b w:val="0"/>
          <w:i w:val="0"/>
          <w:color w:val="000000" w:themeColor="text1"/>
          <w:szCs w:val="24"/>
        </w:rPr>
      </w:pPr>
    </w:p>
    <w:p w:rsid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 xml:space="preserve">A Hillside Protection site plan shall be vested for a period of three years from the date of the original approval. </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The public water main shall maintain minimum 30" cover at driveway location or other grade change locations on lot.</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lastRenderedPageBreak/>
        <w:t>The public water and sewer service lines including meter assembly and cleanout shall be located outside of driveway.</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The Lot has been provided a 1" meter assembly. A water tap/capacity fee of $7,000 will be required at time of building permit.</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Add the following note to the Hillside Protection Overlay site plan;</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6C3B05">
      <w:pPr>
        <w:tabs>
          <w:tab w:val="left" w:pos="900"/>
        </w:tabs>
        <w:snapToGrid w:val="0"/>
        <w:ind w:left="720"/>
        <w:contextualSpacing/>
        <w:jc w:val="both"/>
        <w:rPr>
          <w:rFonts w:ascii="Gill Sans MT" w:hAnsi="Gill Sans MT"/>
          <w:snapToGrid w:val="0"/>
        </w:rPr>
      </w:pPr>
      <w:r w:rsidRPr="006C3B05">
        <w:rPr>
          <w:rFonts w:ascii="Gill Sans MT" w:hAnsi="Gill Sans MT"/>
          <w:snapToGrid w:val="0"/>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June 3, 2022, unless extended by the City of Brentwood.  Persons relying on this plan after said date should contact the City of Brentwood to determine if development may continue as depicted on the plan.  </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If the construction authorized pursuant to a site plan is completed within three years from the date of approval, the site plan shall then be considered the final site plan for the project.</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The property owner is responsible for all development fees including water and sewer service and tap fees, building permit fees and Public Works Project Fees.</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w:t>
      </w:r>
      <w:r w:rsidRPr="006C3B05">
        <w:rPr>
          <w:rFonts w:ascii="Gill Sans MT" w:hAnsi="Gill Sans MT"/>
          <w:snapToGrid w:val="0"/>
        </w:rPr>
        <w:lastRenderedPageBreak/>
        <w:t>project may also be subject to delays in issuance of permits, certificates of occupancy, recordation of plats or other project approvals.</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Development of this project shall comply with all applicable codes and ordinances of the City of Brentwood.</w:t>
      </w:r>
    </w:p>
    <w:p w:rsidR="006C3B05" w:rsidRPr="006C3B05" w:rsidRDefault="006C3B05" w:rsidP="006C3B05">
      <w:pPr>
        <w:tabs>
          <w:tab w:val="left" w:pos="900"/>
        </w:tabs>
        <w:snapToGrid w:val="0"/>
        <w:ind w:left="720"/>
        <w:contextualSpacing/>
        <w:jc w:val="both"/>
        <w:rPr>
          <w:rFonts w:ascii="Gill Sans MT" w:hAnsi="Gill Sans MT"/>
          <w:snapToGrid w:val="0"/>
        </w:rPr>
      </w:pPr>
    </w:p>
    <w:p w:rsidR="006C3B05" w:rsidRPr="006C3B05" w:rsidRDefault="006C3B05" w:rsidP="00EC520D">
      <w:pPr>
        <w:numPr>
          <w:ilvl w:val="0"/>
          <w:numId w:val="3"/>
        </w:numPr>
        <w:tabs>
          <w:tab w:val="left" w:pos="900"/>
        </w:tabs>
        <w:snapToGrid w:val="0"/>
        <w:contextualSpacing/>
        <w:jc w:val="both"/>
        <w:rPr>
          <w:rFonts w:ascii="Gill Sans MT" w:hAnsi="Gill Sans MT"/>
          <w:snapToGrid w:val="0"/>
        </w:rPr>
      </w:pPr>
      <w:r w:rsidRPr="006C3B05">
        <w:rPr>
          <w:rFonts w:ascii="Gill Sans MT" w:hAnsi="Gill Sans MT"/>
          <w:snapToGrid w:val="0"/>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6C3B05" w:rsidRDefault="006C3B05">
      <w:pPr>
        <w:rPr>
          <w:rStyle w:val="AGENDA1"/>
          <w:rFonts w:ascii="Gill Sans MT" w:hAnsi="Gill Sans MT"/>
          <w:i w:val="0"/>
          <w:color w:val="auto"/>
          <w:szCs w:val="24"/>
        </w:rPr>
      </w:pPr>
    </w:p>
    <w:p w:rsidR="00A92549"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6C3B05" w:rsidRPr="006C3B05">
        <w:rPr>
          <w:rStyle w:val="AGENDA1"/>
          <w:rFonts w:ascii="Gill Sans MT" w:hAnsi="Gill Sans MT"/>
          <w:i w:val="0"/>
          <w:color w:val="auto"/>
          <w:szCs w:val="24"/>
        </w:rPr>
        <w:t>BPC2006-003</w:t>
      </w:r>
      <w:r w:rsidR="006C3B05">
        <w:rPr>
          <w:rStyle w:val="AGENDA1"/>
          <w:rFonts w:ascii="Gill Sans MT" w:hAnsi="Gill Sans MT"/>
          <w:i w:val="0"/>
          <w:color w:val="auto"/>
          <w:szCs w:val="24"/>
        </w:rPr>
        <w:t xml:space="preserve"> </w:t>
      </w:r>
      <w:r w:rsidR="006C3B05" w:rsidRPr="006C3B05">
        <w:rPr>
          <w:rStyle w:val="AGENDA1"/>
          <w:rFonts w:ascii="Gill Sans MT" w:hAnsi="Gill Sans MT"/>
          <w:i w:val="0"/>
          <w:color w:val="auto"/>
          <w:szCs w:val="24"/>
        </w:rPr>
        <w:t>Minor Site Plan Alteration, Monument Signage – Brentwood Church of Christ, 208 Granny White Pike, Zoning SI-1</w:t>
      </w:r>
    </w:p>
    <w:p w:rsidR="001A42CA" w:rsidRPr="00CF2808" w:rsidRDefault="001A42CA" w:rsidP="001675D4">
      <w:pPr>
        <w:tabs>
          <w:tab w:val="left" w:pos="900"/>
        </w:tabs>
        <w:snapToGrid w:val="0"/>
        <w:ind w:left="907" w:hanging="907"/>
        <w:contextualSpacing/>
        <w:jc w:val="both"/>
        <w:rPr>
          <w:rStyle w:val="AGENDA1"/>
          <w:rFonts w:ascii="Gill Sans MT" w:hAnsi="Gill Sans MT"/>
          <w:i w:val="0"/>
          <w:color w:val="auto"/>
          <w:szCs w:val="24"/>
        </w:rPr>
      </w:pPr>
    </w:p>
    <w:p w:rsidR="006C3B05" w:rsidRPr="006C3B05" w:rsidRDefault="006C3B05" w:rsidP="006C3B05">
      <w:pPr>
        <w:rPr>
          <w:rStyle w:val="AGENDA1"/>
          <w:rFonts w:ascii="Gill Sans MT" w:hAnsi="Gill Sans MT"/>
          <w:b w:val="0"/>
          <w:bCs/>
          <w:i w:val="0"/>
          <w:iCs/>
          <w:color w:val="auto"/>
          <w:szCs w:val="24"/>
        </w:rPr>
      </w:pPr>
      <w:r w:rsidRPr="006C3B05">
        <w:rPr>
          <w:rStyle w:val="AGENDA1"/>
          <w:rFonts w:ascii="Gill Sans MT" w:hAnsi="Gill Sans MT"/>
          <w:b w:val="0"/>
          <w:bCs/>
          <w:i w:val="0"/>
          <w:iCs/>
          <w:color w:val="auto"/>
          <w:szCs w:val="24"/>
        </w:rPr>
        <w:t>Harber Architecture, Inc., request</w:t>
      </w:r>
      <w:r w:rsidR="00737419">
        <w:rPr>
          <w:rStyle w:val="AGENDA1"/>
          <w:rFonts w:ascii="Gill Sans MT" w:hAnsi="Gill Sans MT"/>
          <w:b w:val="0"/>
          <w:bCs/>
          <w:i w:val="0"/>
          <w:iCs/>
          <w:color w:val="auto"/>
          <w:szCs w:val="24"/>
        </w:rPr>
        <w:t>ed</w:t>
      </w:r>
      <w:r w:rsidRPr="006C3B05">
        <w:rPr>
          <w:rStyle w:val="AGENDA1"/>
          <w:rFonts w:ascii="Gill Sans MT" w:hAnsi="Gill Sans MT"/>
          <w:b w:val="0"/>
          <w:bCs/>
          <w:i w:val="0"/>
          <w:iCs/>
          <w:color w:val="auto"/>
          <w:szCs w:val="24"/>
        </w:rPr>
        <w:t xml:space="preserve"> approval to construct a new monument sign at the Brentwood Church of Christ.  The sign will be located along the property’s Granny White Pike frontage.  </w:t>
      </w:r>
    </w:p>
    <w:p w:rsidR="006C3B05" w:rsidRPr="006C3B05" w:rsidRDefault="006C3B05" w:rsidP="006C3B05">
      <w:pPr>
        <w:rPr>
          <w:rStyle w:val="AGENDA1"/>
          <w:rFonts w:ascii="Gill Sans MT" w:hAnsi="Gill Sans MT"/>
          <w:b w:val="0"/>
          <w:bCs/>
          <w:i w:val="0"/>
          <w:iCs/>
          <w:color w:val="auto"/>
          <w:szCs w:val="24"/>
        </w:rPr>
      </w:pPr>
    </w:p>
    <w:p w:rsidR="006C3B05" w:rsidRPr="006C3B05" w:rsidRDefault="006C3B05" w:rsidP="006C3B05">
      <w:pPr>
        <w:rPr>
          <w:rStyle w:val="AGENDA1"/>
          <w:rFonts w:ascii="Gill Sans MT" w:hAnsi="Gill Sans MT"/>
          <w:b w:val="0"/>
          <w:bCs/>
          <w:i w:val="0"/>
          <w:iCs/>
          <w:color w:val="auto"/>
          <w:szCs w:val="24"/>
        </w:rPr>
      </w:pPr>
      <w:r w:rsidRPr="006C3B05">
        <w:rPr>
          <w:rStyle w:val="AGENDA1"/>
          <w:rFonts w:ascii="Gill Sans MT" w:hAnsi="Gill Sans MT"/>
          <w:b w:val="0"/>
          <w:bCs/>
          <w:i w:val="0"/>
          <w:iCs/>
          <w:color w:val="auto"/>
          <w:szCs w:val="24"/>
        </w:rPr>
        <w:t xml:space="preserve">The new sign will be constructed of stone veneer and brick to match the building.  Black aluminum dimensional letters will be included. The sign will be externally illuminated using two flood lights. The existing monument sign will be removed. </w:t>
      </w:r>
    </w:p>
    <w:p w:rsidR="006C3B05" w:rsidRPr="006C3B05" w:rsidRDefault="006C3B05" w:rsidP="006C3B05">
      <w:pPr>
        <w:rPr>
          <w:rStyle w:val="AGENDA1"/>
          <w:rFonts w:ascii="Gill Sans MT" w:hAnsi="Gill Sans MT"/>
          <w:b w:val="0"/>
          <w:bCs/>
          <w:i w:val="0"/>
          <w:iCs/>
          <w:color w:val="auto"/>
          <w:szCs w:val="24"/>
        </w:rPr>
      </w:pPr>
    </w:p>
    <w:p w:rsidR="009A1503" w:rsidRDefault="006C3B05" w:rsidP="006C3B05">
      <w:pPr>
        <w:rPr>
          <w:rStyle w:val="AGENDA1"/>
          <w:rFonts w:ascii="Gill Sans MT" w:hAnsi="Gill Sans MT"/>
          <w:b w:val="0"/>
          <w:bCs/>
          <w:i w:val="0"/>
          <w:iCs/>
          <w:color w:val="auto"/>
          <w:szCs w:val="24"/>
        </w:rPr>
      </w:pPr>
      <w:r w:rsidRPr="006C3B05">
        <w:rPr>
          <w:rStyle w:val="AGENDA1"/>
          <w:rFonts w:ascii="Gill Sans MT" w:hAnsi="Gill Sans MT"/>
          <w:b w:val="0"/>
          <w:bCs/>
          <w:i w:val="0"/>
          <w:iCs/>
          <w:color w:val="auto"/>
          <w:szCs w:val="24"/>
        </w:rPr>
        <w:t>Additionally, one new stone pedestal, also matching the sign and building fitted with a decorative solar lantern will be placed at each driveway.</w:t>
      </w:r>
    </w:p>
    <w:p w:rsidR="006C3B05" w:rsidRDefault="006C3B05" w:rsidP="006C3B05">
      <w:pPr>
        <w:rPr>
          <w:rStyle w:val="AGENDA1"/>
          <w:rFonts w:ascii="Gill Sans MT" w:hAnsi="Gill Sans MT"/>
          <w:b w:val="0"/>
          <w:i w:val="0"/>
          <w:color w:val="auto"/>
          <w:szCs w:val="24"/>
        </w:rPr>
      </w:pPr>
    </w:p>
    <w:p w:rsidR="00CB2780" w:rsidRPr="00721EF3" w:rsidRDefault="00CB2780" w:rsidP="00507A49">
      <w:pPr>
        <w:rPr>
          <w:rStyle w:val="AGENDA1"/>
          <w:rFonts w:ascii="Gill Sans MT" w:hAnsi="Gill Sans MT"/>
          <w:b w:val="0"/>
          <w:i w:val="0"/>
          <w:color w:val="auto"/>
          <w:szCs w:val="24"/>
        </w:rPr>
      </w:pPr>
      <w:r w:rsidRPr="00721EF3">
        <w:rPr>
          <w:rStyle w:val="AGENDA1"/>
          <w:rFonts w:ascii="Gill Sans MT" w:hAnsi="Gill Sans MT"/>
          <w:b w:val="0"/>
          <w:i w:val="0"/>
          <w:color w:val="auto"/>
          <w:szCs w:val="24"/>
        </w:rPr>
        <w:t xml:space="preserve">Staff recommended </w:t>
      </w:r>
      <w:r w:rsidRPr="009A1503">
        <w:rPr>
          <w:rStyle w:val="AGENDA1"/>
          <w:rFonts w:ascii="Gill Sans MT" w:hAnsi="Gill Sans MT"/>
          <w:b w:val="0"/>
          <w:i w:val="0"/>
          <w:color w:val="auto"/>
          <w:szCs w:val="24"/>
        </w:rPr>
        <w:t xml:space="preserve">approval of the </w:t>
      </w:r>
      <w:r w:rsidR="009A1503" w:rsidRPr="009A1503">
        <w:rPr>
          <w:rStyle w:val="AGENDA1"/>
          <w:rFonts w:ascii="Gill Sans MT" w:hAnsi="Gill Sans MT"/>
          <w:b w:val="0"/>
          <w:i w:val="0"/>
          <w:color w:val="auto"/>
          <w:szCs w:val="24"/>
        </w:rPr>
        <w:t xml:space="preserve">proposed </w:t>
      </w:r>
      <w:r w:rsidR="006C3B05">
        <w:rPr>
          <w:rStyle w:val="AGENDA1"/>
          <w:rFonts w:ascii="Gill Sans MT" w:hAnsi="Gill Sans MT"/>
          <w:b w:val="0"/>
          <w:i w:val="0"/>
          <w:color w:val="auto"/>
          <w:szCs w:val="24"/>
        </w:rPr>
        <w:t>minor site</w:t>
      </w:r>
      <w:r w:rsidR="009A1503" w:rsidRPr="009A1503">
        <w:rPr>
          <w:rStyle w:val="AGENDA1"/>
          <w:rFonts w:ascii="Gill Sans MT" w:hAnsi="Gill Sans MT"/>
          <w:b w:val="0"/>
          <w:i w:val="0"/>
          <w:color w:val="auto"/>
          <w:szCs w:val="24"/>
        </w:rPr>
        <w:t xml:space="preserve"> pla</w:t>
      </w:r>
      <w:r w:rsidR="006C3B05">
        <w:rPr>
          <w:rStyle w:val="AGENDA1"/>
          <w:rFonts w:ascii="Gill Sans MT" w:hAnsi="Gill Sans MT"/>
          <w:b w:val="0"/>
          <w:i w:val="0"/>
          <w:color w:val="auto"/>
          <w:szCs w:val="24"/>
        </w:rPr>
        <w:t>n revisions</w:t>
      </w:r>
      <w:r w:rsidR="009A1503" w:rsidRPr="009A1503">
        <w:rPr>
          <w:rStyle w:val="AGENDA1"/>
          <w:rFonts w:ascii="Gill Sans MT" w:hAnsi="Gill Sans MT"/>
          <w:b w:val="0"/>
          <w:i w:val="0"/>
          <w:color w:val="auto"/>
          <w:szCs w:val="24"/>
        </w:rPr>
        <w:t xml:space="preserve"> </w:t>
      </w:r>
      <w:r w:rsidRPr="009A1503">
        <w:rPr>
          <w:rStyle w:val="AGENDA1"/>
          <w:rFonts w:ascii="Gill Sans MT" w:hAnsi="Gill Sans MT"/>
          <w:b w:val="0"/>
          <w:i w:val="0"/>
          <w:color w:val="auto"/>
          <w:szCs w:val="24"/>
        </w:rPr>
        <w:t>subject to the</w:t>
      </w:r>
      <w:r w:rsidRPr="00721EF3">
        <w:rPr>
          <w:rStyle w:val="AGENDA1"/>
          <w:rFonts w:ascii="Gill Sans MT" w:hAnsi="Gill Sans MT"/>
          <w:b w:val="0"/>
          <w:i w:val="0"/>
          <w:color w:val="auto"/>
          <w:szCs w:val="24"/>
        </w:rPr>
        <w:t xml:space="preserve"> following conditions:</w:t>
      </w:r>
    </w:p>
    <w:p w:rsidR="008107C3" w:rsidRPr="00CF2808" w:rsidRDefault="008107C3" w:rsidP="00507A49">
      <w:pPr>
        <w:rPr>
          <w:rStyle w:val="AGENDA1"/>
          <w:rFonts w:ascii="Gill Sans MT" w:hAnsi="Gill Sans MT"/>
          <w:b w:val="0"/>
          <w:i w:val="0"/>
          <w:color w:val="auto"/>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 xml:space="preserve">A site plan shall be vested for a period of three years from the date of the original approval. </w:t>
      </w:r>
    </w:p>
    <w:p w:rsidR="006C3B05" w:rsidRPr="006C3B05" w:rsidRDefault="006C3B05" w:rsidP="006C3B05">
      <w:pPr>
        <w:tabs>
          <w:tab w:val="left" w:pos="900"/>
        </w:tabs>
        <w:snapToGrid w:val="0"/>
        <w:ind w:left="720"/>
        <w:contextualSpacing/>
        <w:jc w:val="both"/>
        <w:rPr>
          <w:b/>
          <w:snapToGrid w:val="0"/>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Add the following note to the site plan;</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r w:rsidRPr="006C3B0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4, 2022, unless extended by the City of Brentwood.  Persons relying on this plan after said date should contact the City of Brentwood to determine if development may continue as depicted on the plan.  </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Any changes to plans approved by the Planning Commission will require staff review and re-approval by the Planning Commission.</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t>Development of this project shall comply with all applicable codes and ordinances of the City of Brentwood.</w:t>
      </w:r>
    </w:p>
    <w:p w:rsidR="006C3B05" w:rsidRPr="006C3B05" w:rsidRDefault="006C3B05" w:rsidP="006C3B05">
      <w:pPr>
        <w:tabs>
          <w:tab w:val="left" w:pos="900"/>
        </w:tabs>
        <w:snapToGrid w:val="0"/>
        <w:ind w:left="720"/>
        <w:contextualSpacing/>
        <w:jc w:val="both"/>
        <w:rPr>
          <w:rFonts w:ascii="Gill Sans MT" w:hAnsi="Gill Sans MT" w:cs="Arial"/>
          <w:snapToGrid w:val="0"/>
          <w:szCs w:val="24"/>
        </w:rPr>
      </w:pPr>
    </w:p>
    <w:p w:rsidR="006C3B05" w:rsidRPr="006C3B05" w:rsidRDefault="006C3B05" w:rsidP="00EC520D">
      <w:pPr>
        <w:numPr>
          <w:ilvl w:val="0"/>
          <w:numId w:val="2"/>
        </w:numPr>
        <w:tabs>
          <w:tab w:val="left" w:pos="900"/>
        </w:tabs>
        <w:snapToGrid w:val="0"/>
        <w:contextualSpacing/>
        <w:jc w:val="both"/>
        <w:rPr>
          <w:rFonts w:ascii="Gill Sans MT" w:hAnsi="Gill Sans MT" w:cs="Arial"/>
          <w:snapToGrid w:val="0"/>
          <w:szCs w:val="24"/>
        </w:rPr>
      </w:pPr>
      <w:r w:rsidRPr="006C3B05">
        <w:rPr>
          <w:rFonts w:ascii="Gill Sans MT" w:hAnsi="Gill Sans MT" w:cs="Arial"/>
          <w:snapToGrid w:val="0"/>
          <w:szCs w:val="24"/>
        </w:rPr>
        <w:lastRenderedPageBreak/>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052C5D" w:rsidRDefault="00052C5D">
      <w:pPr>
        <w:rPr>
          <w:rStyle w:val="AGENDA1"/>
          <w:rFonts w:ascii="Gill Sans MT" w:hAnsi="Gill Sans MT"/>
          <w:i w:val="0"/>
          <w:color w:val="auto"/>
          <w:szCs w:val="24"/>
        </w:rPr>
      </w:pPr>
    </w:p>
    <w:p w:rsidR="00F552A2" w:rsidRPr="00CF2808" w:rsidRDefault="00F552A2" w:rsidP="006F282B">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3:</w:t>
      </w:r>
      <w:r w:rsidRPr="00CF2808">
        <w:rPr>
          <w:rStyle w:val="AGENDA1"/>
          <w:rFonts w:ascii="Gill Sans MT" w:hAnsi="Gill Sans MT"/>
          <w:i w:val="0"/>
          <w:color w:val="auto"/>
          <w:szCs w:val="24"/>
        </w:rPr>
        <w:tab/>
      </w:r>
      <w:r w:rsidR="00E419EE" w:rsidRPr="00E419EE">
        <w:rPr>
          <w:rStyle w:val="AGENDA1"/>
          <w:rFonts w:ascii="Gill Sans MT" w:hAnsi="Gill Sans MT"/>
          <w:i w:val="0"/>
          <w:color w:val="auto"/>
          <w:szCs w:val="24"/>
        </w:rPr>
        <w:t>BPC2006-006</w:t>
      </w:r>
      <w:r w:rsidR="00E419EE">
        <w:rPr>
          <w:rStyle w:val="AGENDA1"/>
          <w:rFonts w:ascii="Gill Sans MT" w:hAnsi="Gill Sans MT"/>
          <w:i w:val="0"/>
          <w:color w:val="auto"/>
          <w:szCs w:val="24"/>
        </w:rPr>
        <w:t xml:space="preserve"> </w:t>
      </w:r>
      <w:r w:rsidR="00E419EE" w:rsidRPr="00E419EE">
        <w:rPr>
          <w:rStyle w:val="AGENDA1"/>
          <w:rFonts w:ascii="Gill Sans MT" w:hAnsi="Gill Sans MT"/>
          <w:i w:val="0"/>
          <w:color w:val="auto"/>
          <w:szCs w:val="24"/>
        </w:rPr>
        <w:t>Revised Hillside Protection Overlay Site Plan Review – Stonehenge Subdivision, Section Three, Lot 117, 1324 Robert E Lee, Zoning OSRD</w:t>
      </w:r>
    </w:p>
    <w:p w:rsidR="00102EFF" w:rsidRPr="00E419EE" w:rsidRDefault="00102EFF" w:rsidP="006F282B">
      <w:pPr>
        <w:tabs>
          <w:tab w:val="left" w:pos="900"/>
        </w:tabs>
        <w:snapToGrid w:val="0"/>
        <w:ind w:left="907" w:hanging="907"/>
        <w:contextualSpacing/>
        <w:jc w:val="both"/>
        <w:rPr>
          <w:rStyle w:val="AGENDA1"/>
          <w:rFonts w:ascii="Gill Sans MT" w:hAnsi="Gill Sans MT"/>
          <w:b w:val="0"/>
          <w:i w:val="0"/>
          <w:color w:val="auto"/>
          <w:szCs w:val="24"/>
        </w:rPr>
      </w:pPr>
    </w:p>
    <w:p w:rsidR="00E419EE" w:rsidRPr="00E419EE" w:rsidRDefault="00E419EE" w:rsidP="00E419EE">
      <w:pPr>
        <w:snapToGrid w:val="0"/>
        <w:jc w:val="both"/>
        <w:rPr>
          <w:rFonts w:ascii="Gill Sans MT" w:hAnsi="Gill Sans MT" w:cs="Arial"/>
          <w:szCs w:val="24"/>
        </w:rPr>
      </w:pPr>
      <w:r w:rsidRPr="00E419EE">
        <w:rPr>
          <w:rFonts w:ascii="Gill Sans MT" w:hAnsi="Gill Sans MT" w:cs="Arial"/>
          <w:szCs w:val="24"/>
        </w:rPr>
        <w:t>Mr. Mark Miller request</w:t>
      </w:r>
      <w:r w:rsidR="00737419">
        <w:rPr>
          <w:rFonts w:ascii="Gill Sans MT" w:hAnsi="Gill Sans MT" w:cs="Arial"/>
          <w:szCs w:val="24"/>
        </w:rPr>
        <w:t>ed</w:t>
      </w:r>
      <w:r w:rsidRPr="00E419EE">
        <w:rPr>
          <w:rFonts w:ascii="Gill Sans MT" w:hAnsi="Gill Sans MT" w:cs="Arial"/>
          <w:szCs w:val="24"/>
        </w:rPr>
        <w:t xml:space="preserve"> approval of a Hillside Protection Overlay Site plan that completely modifie</w:t>
      </w:r>
      <w:r w:rsidR="00737419">
        <w:rPr>
          <w:rFonts w:ascii="Gill Sans MT" w:hAnsi="Gill Sans MT" w:cs="Arial"/>
          <w:szCs w:val="24"/>
        </w:rPr>
        <w:t>d</w:t>
      </w:r>
      <w:r w:rsidRPr="00E419EE">
        <w:rPr>
          <w:rFonts w:ascii="Gill Sans MT" w:hAnsi="Gill Sans MT" w:cs="Arial"/>
          <w:szCs w:val="24"/>
        </w:rPr>
        <w:t xml:space="preserve"> the exterior of the existing home. </w:t>
      </w:r>
    </w:p>
    <w:p w:rsidR="00E419EE" w:rsidRPr="00E419EE" w:rsidRDefault="00E419EE" w:rsidP="00E419EE">
      <w:pPr>
        <w:snapToGrid w:val="0"/>
        <w:jc w:val="both"/>
        <w:rPr>
          <w:rFonts w:ascii="Gill Sans MT" w:hAnsi="Gill Sans MT" w:cs="Arial"/>
          <w:szCs w:val="24"/>
        </w:rPr>
      </w:pPr>
    </w:p>
    <w:p w:rsidR="00E419EE" w:rsidRPr="00E419EE" w:rsidRDefault="00E419EE" w:rsidP="00E419EE">
      <w:pPr>
        <w:jc w:val="both"/>
        <w:rPr>
          <w:rFonts w:ascii="Gill Sans MT" w:hAnsi="Gill Sans MT" w:cs="Arial"/>
          <w:szCs w:val="24"/>
        </w:rPr>
      </w:pPr>
      <w:r w:rsidRPr="00E419EE">
        <w:rPr>
          <w:rFonts w:ascii="Gill Sans MT" w:hAnsi="Gill Sans MT" w:cs="Arial"/>
          <w:szCs w:val="24"/>
        </w:rPr>
        <w:t xml:space="preserve">The applicant </w:t>
      </w:r>
      <w:r w:rsidR="00737419">
        <w:rPr>
          <w:rFonts w:ascii="Gill Sans MT" w:hAnsi="Gill Sans MT" w:cs="Arial"/>
          <w:szCs w:val="24"/>
        </w:rPr>
        <w:t>requested</w:t>
      </w:r>
      <w:r w:rsidRPr="00E419EE">
        <w:rPr>
          <w:rFonts w:ascii="Gill Sans MT" w:hAnsi="Gill Sans MT" w:cs="Arial"/>
          <w:szCs w:val="24"/>
        </w:rPr>
        <w:t xml:space="preserve"> to add approximately 1,929 sf to the home. The changes to the plan include</w:t>
      </w:r>
      <w:r w:rsidR="00737419">
        <w:rPr>
          <w:rFonts w:ascii="Gill Sans MT" w:hAnsi="Gill Sans MT" w:cs="Arial"/>
          <w:szCs w:val="24"/>
        </w:rPr>
        <w:t>d</w:t>
      </w:r>
      <w:r w:rsidRPr="00E419EE">
        <w:rPr>
          <w:rFonts w:ascii="Gill Sans MT" w:hAnsi="Gill Sans MT" w:cs="Arial"/>
          <w:szCs w:val="24"/>
        </w:rPr>
        <w:t>:</w:t>
      </w:r>
    </w:p>
    <w:p w:rsidR="00E419EE" w:rsidRPr="00E419EE" w:rsidRDefault="00E419EE" w:rsidP="00E419EE">
      <w:pPr>
        <w:rPr>
          <w:rFonts w:ascii="Gill Sans MT" w:hAnsi="Gill Sans MT" w:cs="Arial"/>
          <w:szCs w:val="24"/>
        </w:rPr>
      </w:pP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Addition of a second story with 10 ft. high ceilings;</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Addition of a 4’ x 26’ rear addition; </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Paint the existing brick Shoji white;</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Install new brick, all exterior never-rot trim;</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Install 6” gutters and downspouts;</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Install front door gas lights, and up lighting;</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Accent hardy board areas, and </w:t>
      </w:r>
    </w:p>
    <w:p w:rsidR="00E419EE" w:rsidRPr="00E419EE" w:rsidRDefault="00E419EE" w:rsidP="00EC520D">
      <w:pPr>
        <w:numPr>
          <w:ilvl w:val="0"/>
          <w:numId w:val="4"/>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New architectural roof shingles per elevation rendering. </w:t>
      </w:r>
    </w:p>
    <w:p w:rsidR="00E419EE" w:rsidRPr="00E419EE" w:rsidRDefault="00E419EE" w:rsidP="00E419EE">
      <w:pPr>
        <w:rPr>
          <w:rFonts w:ascii="Arial" w:hAnsi="Arial" w:cs="Arial"/>
          <w:i/>
          <w:szCs w:val="24"/>
        </w:rPr>
      </w:pPr>
    </w:p>
    <w:p w:rsidR="00F41DD8" w:rsidRPr="00E419EE" w:rsidRDefault="00E419EE" w:rsidP="00E419EE">
      <w:pPr>
        <w:snapToGrid w:val="0"/>
        <w:jc w:val="both"/>
        <w:rPr>
          <w:rStyle w:val="AGENDA1"/>
          <w:rFonts w:ascii="Gill Sans MT" w:hAnsi="Gill Sans MT"/>
          <w:b w:val="0"/>
          <w:bCs/>
          <w:i w:val="0"/>
          <w:iCs/>
          <w:color w:val="auto"/>
          <w:szCs w:val="24"/>
        </w:rPr>
      </w:pPr>
      <w:r w:rsidRPr="00E419EE">
        <w:rPr>
          <w:rStyle w:val="AGENDA1"/>
          <w:rFonts w:ascii="Gill Sans MT" w:hAnsi="Gill Sans MT"/>
          <w:b w:val="0"/>
          <w:bCs/>
          <w:i w:val="0"/>
          <w:iCs/>
          <w:color w:val="auto"/>
        </w:rPr>
        <w:t>The new area of the home will be approximately 4,633 sf (Basement-1,125 sf, First floor-1,797 sf, Second floor-1,711 sf).</w:t>
      </w:r>
    </w:p>
    <w:p w:rsidR="00E419EE" w:rsidRDefault="00E419EE" w:rsidP="00F552A2">
      <w:pPr>
        <w:snapToGrid w:val="0"/>
        <w:jc w:val="both"/>
        <w:rPr>
          <w:rStyle w:val="AGENDA1"/>
          <w:rFonts w:ascii="Gill Sans MT" w:hAnsi="Gill Sans MT"/>
          <w:b w:val="0"/>
          <w:i w:val="0"/>
          <w:color w:val="auto"/>
          <w:szCs w:val="24"/>
        </w:rPr>
      </w:pPr>
    </w:p>
    <w:p w:rsidR="00F552A2" w:rsidRPr="00CF2808" w:rsidRDefault="00F552A2" w:rsidP="00F552A2">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w:t>
      </w:r>
      <w:r w:rsidR="00277DAC" w:rsidRPr="00277DAC">
        <w:rPr>
          <w:rStyle w:val="AGENDA1"/>
          <w:rFonts w:ascii="Gill Sans MT" w:hAnsi="Gill Sans MT"/>
          <w:b w:val="0"/>
          <w:i w:val="0"/>
          <w:color w:val="auto"/>
          <w:szCs w:val="24"/>
        </w:rPr>
        <w:t>proposed revised hillside protection overlay site plan</w:t>
      </w:r>
      <w:r w:rsidR="00277DAC"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The front yard does not drain away from the home as required.  The elevation of the front yard in some areas is higher than the finished floor elevation.  Additional grading will be required. </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Any modifications or repairs to the driveway as a result of its use during construction shall be completed in accordance to current codes. </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A Hillside Protection site plan shall be vested for a period of three years from the date of the original approval.  </w:t>
      </w:r>
    </w:p>
    <w:p w:rsidR="00277DAC" w:rsidRPr="00E419EE" w:rsidRDefault="00277DAC" w:rsidP="00E419EE">
      <w:pPr>
        <w:tabs>
          <w:tab w:val="left" w:pos="900"/>
        </w:tabs>
        <w:snapToGrid w:val="0"/>
        <w:ind w:left="720"/>
        <w:contextualSpacing/>
        <w:jc w:val="both"/>
        <w:rPr>
          <w:b/>
          <w:snapToGrid w:val="0"/>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Add the following note to the Hillside Protection Overlay site plan;</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r w:rsidRPr="00E419E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E419EE">
        <w:rPr>
          <w:rFonts w:ascii="Gill Sans MT" w:hAnsi="Gill Sans MT" w:cs="Arial"/>
          <w:snapToGrid w:val="0"/>
          <w:szCs w:val="24"/>
        </w:rPr>
        <w:lastRenderedPageBreak/>
        <w:t xml:space="preserve">than those that were applicable during the vesting period.  The Initial vesting period for this plan expires on July 6, 2023, unless extended by the City of Brentwood.  Persons relying on this plan after said date should contact the City of Brentwood to determine if development may continue as depicted on the plan.  </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Add the following note to the plan: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Following approval by the Planning Commission of the Hillside Protection site plan, a grading permit will be required. The site plan shall be reviewed as a Transitional Lot.</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All existing trees shall be preserved and protected during construction.  </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Approval of this plan does not constitute approval of the existing drive and garage apron being on adjacent property.  Also, current code states that drives must be 5’ from the property line.  Any work on the existing drive would require the drive to be brought into compliance.</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The property owner is responsible for all development fees including water and sewer service and tap fees, building permit fees and Public Works Project Fees.</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 xml:space="preserve">Deviations from the approved plan/plat in the development of a project or the failure to satisfy any standard requirements or special conditions of approval imposed by the planning commission will be considered a violation of the provisions of the Zoning </w:t>
      </w:r>
      <w:r w:rsidRPr="00E419EE">
        <w:rPr>
          <w:rFonts w:ascii="Gill Sans MT" w:hAnsi="Gill Sans MT" w:cs="Arial"/>
          <w:snapToGrid w:val="0"/>
          <w:szCs w:val="24"/>
        </w:rPr>
        <w:lastRenderedPageBreak/>
        <w:t>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Development of this project shall comply with all applicable codes and ordinances of the City of Brentwood.</w:t>
      </w:r>
    </w:p>
    <w:p w:rsidR="00E419EE" w:rsidRPr="00E419EE" w:rsidRDefault="00E419EE" w:rsidP="00E419EE">
      <w:pPr>
        <w:tabs>
          <w:tab w:val="left" w:pos="900"/>
        </w:tabs>
        <w:snapToGrid w:val="0"/>
        <w:ind w:left="720"/>
        <w:contextualSpacing/>
        <w:jc w:val="both"/>
        <w:rPr>
          <w:rFonts w:ascii="Gill Sans MT" w:hAnsi="Gill Sans MT" w:cs="Arial"/>
          <w:snapToGrid w:val="0"/>
          <w:szCs w:val="24"/>
        </w:rPr>
      </w:pPr>
    </w:p>
    <w:p w:rsidR="00E419EE" w:rsidRPr="00E419EE" w:rsidRDefault="00E419EE" w:rsidP="00EC520D">
      <w:pPr>
        <w:numPr>
          <w:ilvl w:val="0"/>
          <w:numId w:val="5"/>
        </w:numPr>
        <w:tabs>
          <w:tab w:val="left" w:pos="900"/>
        </w:tabs>
        <w:snapToGrid w:val="0"/>
        <w:contextualSpacing/>
        <w:jc w:val="both"/>
        <w:rPr>
          <w:rFonts w:ascii="Gill Sans MT" w:hAnsi="Gill Sans MT" w:cs="Arial"/>
          <w:snapToGrid w:val="0"/>
          <w:szCs w:val="24"/>
        </w:rPr>
      </w:pPr>
      <w:r w:rsidRPr="00E419EE">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E419EE" w:rsidRDefault="00E419EE" w:rsidP="00BA333E">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E419EE">
        <w:rPr>
          <w:rStyle w:val="AGENDA1"/>
          <w:rFonts w:ascii="Gill Sans MT" w:hAnsi="Gill Sans MT"/>
          <w:i w:val="0"/>
          <w:color w:val="auto"/>
          <w:szCs w:val="24"/>
        </w:rPr>
        <w:t>BPC2006-007</w:t>
      </w:r>
      <w:r>
        <w:rPr>
          <w:rStyle w:val="AGENDA1"/>
          <w:rFonts w:ascii="Gill Sans MT" w:hAnsi="Gill Sans MT"/>
          <w:i w:val="0"/>
          <w:color w:val="auto"/>
          <w:szCs w:val="24"/>
        </w:rPr>
        <w:t xml:space="preserve"> </w:t>
      </w:r>
      <w:r w:rsidRPr="00E419EE">
        <w:rPr>
          <w:rStyle w:val="AGENDA1"/>
          <w:rFonts w:ascii="Gill Sans MT" w:hAnsi="Gill Sans MT"/>
          <w:i w:val="0"/>
          <w:color w:val="auto"/>
          <w:szCs w:val="24"/>
        </w:rPr>
        <w:t>Revised Site Plan – AC Marriott Brentwood, Hill Center Brentwood, Phase II, Zoning C-2</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E419EE" w:rsidRPr="00E419EE" w:rsidRDefault="00E419EE" w:rsidP="00E419EE">
      <w:pPr>
        <w:snapToGrid w:val="0"/>
        <w:jc w:val="both"/>
        <w:rPr>
          <w:rFonts w:ascii="Gill Sans MT" w:hAnsi="Gill Sans MT" w:cs="Arial"/>
          <w:szCs w:val="24"/>
        </w:rPr>
      </w:pPr>
      <w:r w:rsidRPr="00E419EE">
        <w:rPr>
          <w:rFonts w:ascii="Gill Sans MT" w:hAnsi="Gill Sans MT" w:cs="Arial"/>
          <w:szCs w:val="24"/>
        </w:rPr>
        <w:t>Goodwyn, Mills &amp; Cawood (GMC) request</w:t>
      </w:r>
      <w:r w:rsidR="00737419">
        <w:rPr>
          <w:rFonts w:ascii="Gill Sans MT" w:hAnsi="Gill Sans MT" w:cs="Arial"/>
          <w:szCs w:val="24"/>
        </w:rPr>
        <w:t>ed</w:t>
      </w:r>
      <w:r w:rsidRPr="00E419EE">
        <w:rPr>
          <w:rFonts w:ascii="Gill Sans MT" w:hAnsi="Gill Sans MT" w:cs="Arial"/>
          <w:szCs w:val="24"/>
        </w:rPr>
        <w:t xml:space="preserve"> approval of a revised site plan that add</w:t>
      </w:r>
      <w:r w:rsidR="00737419">
        <w:rPr>
          <w:rFonts w:ascii="Gill Sans MT" w:hAnsi="Gill Sans MT" w:cs="Arial"/>
          <w:szCs w:val="24"/>
        </w:rPr>
        <w:t>ed</w:t>
      </w:r>
      <w:r w:rsidRPr="00E419EE">
        <w:rPr>
          <w:rFonts w:ascii="Gill Sans MT" w:hAnsi="Gill Sans MT" w:cs="Arial"/>
          <w:szCs w:val="24"/>
        </w:rPr>
        <w:t xml:space="preserve"> a generator and generator enclosure to the site.  </w:t>
      </w:r>
    </w:p>
    <w:p w:rsidR="00E419EE" w:rsidRPr="00E419EE" w:rsidRDefault="00E419EE" w:rsidP="00E419EE">
      <w:pPr>
        <w:snapToGrid w:val="0"/>
        <w:jc w:val="both"/>
        <w:rPr>
          <w:rFonts w:ascii="Gill Sans MT" w:hAnsi="Gill Sans MT" w:cs="Arial"/>
          <w:szCs w:val="24"/>
        </w:rPr>
      </w:pPr>
    </w:p>
    <w:p w:rsidR="00E419EE" w:rsidRPr="00E419EE" w:rsidRDefault="00E419EE" w:rsidP="00E419EE">
      <w:pPr>
        <w:snapToGrid w:val="0"/>
        <w:jc w:val="both"/>
        <w:rPr>
          <w:rFonts w:ascii="Gill Sans MT" w:hAnsi="Gill Sans MT" w:cs="Arial"/>
          <w:szCs w:val="24"/>
        </w:rPr>
      </w:pPr>
      <w:r w:rsidRPr="00E419EE">
        <w:rPr>
          <w:rFonts w:ascii="Gill Sans MT" w:hAnsi="Gill Sans MT" w:cs="Arial"/>
          <w:szCs w:val="24"/>
        </w:rPr>
        <w:t xml:space="preserve">The proposed generator will be a six-cylinder diesel engine with a fuel capacity of 300 gallons.  The generator, without the sub-base tank measures 152” x 60” x 71” (12.7’ x 5’ x 6’) The enclosure will be constructed of masonry materials to match the building. </w:t>
      </w:r>
    </w:p>
    <w:p w:rsidR="00E419EE" w:rsidRPr="00E419EE" w:rsidRDefault="00E419EE" w:rsidP="00E419EE">
      <w:pPr>
        <w:snapToGrid w:val="0"/>
        <w:jc w:val="both"/>
        <w:rPr>
          <w:rFonts w:ascii="Gill Sans MT" w:hAnsi="Gill Sans MT" w:cs="Arial"/>
          <w:szCs w:val="24"/>
        </w:rPr>
      </w:pPr>
    </w:p>
    <w:p w:rsidR="00E419EE" w:rsidRPr="00E419EE" w:rsidRDefault="00E419EE" w:rsidP="00E419EE">
      <w:pPr>
        <w:snapToGrid w:val="0"/>
        <w:jc w:val="both"/>
        <w:rPr>
          <w:rFonts w:ascii="Gill Sans MT" w:hAnsi="Gill Sans MT" w:cs="Arial"/>
          <w:szCs w:val="24"/>
        </w:rPr>
      </w:pPr>
      <w:r w:rsidRPr="00E419EE">
        <w:rPr>
          <w:rFonts w:ascii="Gill Sans MT" w:hAnsi="Gill Sans MT" w:cs="Arial"/>
          <w:szCs w:val="24"/>
        </w:rPr>
        <w:t xml:space="preserve">The generator will operate approximately 10 hours with the specified tank capacity. Noise levels are in the 85 dB(A) range when running. </w:t>
      </w:r>
    </w:p>
    <w:p w:rsidR="00E419EE" w:rsidRPr="00E419EE" w:rsidRDefault="00E419EE" w:rsidP="00E419EE">
      <w:pPr>
        <w:snapToGrid w:val="0"/>
        <w:jc w:val="both"/>
        <w:rPr>
          <w:rFonts w:ascii="Gill Sans MT" w:hAnsi="Gill Sans MT" w:cs="Arial"/>
          <w:szCs w:val="24"/>
        </w:rPr>
      </w:pPr>
    </w:p>
    <w:p w:rsidR="00E419EE" w:rsidRPr="00E419EE" w:rsidRDefault="00E419EE" w:rsidP="00E419EE">
      <w:pPr>
        <w:snapToGrid w:val="0"/>
        <w:jc w:val="both"/>
        <w:rPr>
          <w:rFonts w:ascii="Gill Sans MT" w:hAnsi="Gill Sans MT" w:cs="Arial"/>
          <w:szCs w:val="24"/>
        </w:rPr>
      </w:pPr>
      <w:r w:rsidRPr="00E419EE">
        <w:rPr>
          <w:rFonts w:ascii="Gill Sans MT" w:hAnsi="Gill Sans MT" w:cs="Arial"/>
          <w:szCs w:val="24"/>
        </w:rPr>
        <w:t xml:space="preserve">A metal slat screen wall will extend beyond the masonry enclosure. A metal slat gate is also included as part of the proposal.  The screen wall and the gate will be painted to match the metal used on the building.  </w:t>
      </w:r>
    </w:p>
    <w:p w:rsidR="00E419EE" w:rsidRPr="00E419EE" w:rsidRDefault="00E419EE" w:rsidP="00E419EE">
      <w:pPr>
        <w:snapToGrid w:val="0"/>
        <w:jc w:val="both"/>
        <w:rPr>
          <w:rFonts w:ascii="Gill Sans MT" w:hAnsi="Gill Sans MT" w:cs="Arial"/>
          <w:szCs w:val="24"/>
        </w:rPr>
      </w:pPr>
    </w:p>
    <w:p w:rsidR="00E419EE" w:rsidRDefault="00E419EE" w:rsidP="00E419EE">
      <w:pPr>
        <w:snapToGrid w:val="0"/>
        <w:jc w:val="both"/>
        <w:rPr>
          <w:rFonts w:ascii="Gill Sans MT" w:hAnsi="Gill Sans MT" w:cs="Arial"/>
          <w:szCs w:val="24"/>
        </w:rPr>
      </w:pPr>
      <w:r w:rsidRPr="00E419EE">
        <w:rPr>
          <w:rFonts w:ascii="Gill Sans MT" w:hAnsi="Gill Sans MT" w:cs="Arial"/>
          <w:szCs w:val="24"/>
        </w:rPr>
        <w:t>No additional improvements to the building, which is under construction are included as part of the proposal.</w:t>
      </w:r>
    </w:p>
    <w:p w:rsidR="00E419EE" w:rsidRDefault="00E419EE" w:rsidP="00E419EE">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revised </w:t>
      </w:r>
      <w:r w:rsidR="002B21B2">
        <w:rPr>
          <w:rStyle w:val="AGENDA1"/>
          <w:rFonts w:ascii="Gill Sans MT" w:hAnsi="Gill Sans MT"/>
          <w:b w:val="0"/>
          <w:i w:val="0"/>
          <w:color w:val="auto"/>
          <w:szCs w:val="24"/>
        </w:rPr>
        <w:t>s</w:t>
      </w:r>
      <w:r w:rsidRPr="00277DAC">
        <w:rPr>
          <w:rStyle w:val="AGENDA1"/>
          <w:rFonts w:ascii="Gill Sans MT" w:hAnsi="Gill Sans MT"/>
          <w:b w:val="0"/>
          <w:i w:val="0"/>
          <w:color w:val="auto"/>
          <w:szCs w:val="24"/>
        </w:rPr>
        <w:t>ite plan</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A revised final plat to correct the PUDE encroachment shall be approved and recorded before a final CO/TCO will be issued for the building.  </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The enclosure must completely screen the view of the generator from all sides. </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lastRenderedPageBreak/>
        <w:t xml:space="preserve">A site plan shall be vested for a period of three years from the date of the original approval. </w:t>
      </w:r>
    </w:p>
    <w:p w:rsidR="00E419EE" w:rsidRDefault="00E419EE" w:rsidP="002B21B2">
      <w:pPr>
        <w:tabs>
          <w:tab w:val="left" w:pos="900"/>
        </w:tabs>
        <w:snapToGrid w:val="0"/>
        <w:ind w:left="36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Add the following note to the site plan;</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r w:rsidRPr="002B21B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8, 2022, unless extended by the City of Brentwood.  Persons relying on this plan after said date should contact the City of Brentwood to determine if development may continue as depicted on the plan.  </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2B21B2">
        <w:rPr>
          <w:rFonts w:ascii="Gill Sans MT" w:hAnsi="Gill Sans MT" w:cs="Arial"/>
          <w:snapToGrid w:val="0"/>
          <w:szCs w:val="24"/>
        </w:rPr>
        <w:lastRenderedPageBreak/>
        <w:t>also be subject to delays in issuance of permits, certificates of occupancy, recordation of plats or other project approvals.</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Any changes to plans approved by the Planning Commission will require staff review and re-approval by the Planning Commission.</w:t>
      </w:r>
    </w:p>
    <w:p w:rsidR="002B21B2" w:rsidRPr="002B21B2" w:rsidRDefault="002B21B2" w:rsidP="002B21B2">
      <w:pPr>
        <w:tabs>
          <w:tab w:val="left" w:pos="900"/>
        </w:tabs>
        <w:snapToGrid w:val="0"/>
        <w:ind w:left="720"/>
        <w:contextualSpacing/>
        <w:jc w:val="both"/>
        <w:rPr>
          <w:rFonts w:ascii="Gill Sans MT" w:hAnsi="Gill Sans MT" w:cs="Arial"/>
          <w:snapToGrid w:val="0"/>
          <w:szCs w:val="24"/>
        </w:rPr>
      </w:pPr>
    </w:p>
    <w:p w:rsidR="002B21B2"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Development of this project shall comply with all applicable codes and ordinances of the City of Brentwood.</w:t>
      </w:r>
    </w:p>
    <w:p w:rsidR="002B21B2" w:rsidRPr="002B21B2" w:rsidRDefault="002B21B2" w:rsidP="002B21B2">
      <w:pPr>
        <w:tabs>
          <w:tab w:val="left" w:pos="900"/>
        </w:tabs>
        <w:snapToGrid w:val="0"/>
        <w:contextualSpacing/>
        <w:jc w:val="both"/>
        <w:rPr>
          <w:rFonts w:ascii="Gill Sans MT" w:hAnsi="Gill Sans MT" w:cs="Arial"/>
          <w:snapToGrid w:val="0"/>
          <w:szCs w:val="24"/>
        </w:rPr>
      </w:pPr>
    </w:p>
    <w:p w:rsidR="002B21B2" w:rsidRPr="00E419EE" w:rsidRDefault="002B21B2" w:rsidP="00EC520D">
      <w:pPr>
        <w:numPr>
          <w:ilvl w:val="0"/>
          <w:numId w:val="6"/>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E419EE" w:rsidRDefault="00E419EE" w:rsidP="00BA333E">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2B21B2" w:rsidRPr="002B21B2">
        <w:rPr>
          <w:rStyle w:val="AGENDA1"/>
          <w:rFonts w:ascii="Gill Sans MT" w:hAnsi="Gill Sans MT"/>
          <w:i w:val="0"/>
          <w:color w:val="auto"/>
          <w:szCs w:val="24"/>
        </w:rPr>
        <w:t>BPC2006-010</w:t>
      </w:r>
      <w:r w:rsidR="002B21B2">
        <w:rPr>
          <w:rStyle w:val="AGENDA1"/>
          <w:rFonts w:ascii="Gill Sans MT" w:hAnsi="Gill Sans MT"/>
          <w:i w:val="0"/>
          <w:color w:val="auto"/>
          <w:szCs w:val="24"/>
        </w:rPr>
        <w:t xml:space="preserve"> </w:t>
      </w:r>
      <w:r w:rsidR="002B21B2" w:rsidRPr="002B21B2">
        <w:rPr>
          <w:rStyle w:val="AGENDA1"/>
          <w:rFonts w:ascii="Gill Sans MT" w:hAnsi="Gill Sans MT"/>
          <w:i w:val="0"/>
          <w:color w:val="auto"/>
          <w:szCs w:val="24"/>
        </w:rPr>
        <w:t>Revised Building Elevations – Wellington Place, 209 Ward Circle, Zoning C-2</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2B21B2" w:rsidRPr="002B21B2" w:rsidRDefault="002B21B2" w:rsidP="002B21B2">
      <w:pPr>
        <w:snapToGrid w:val="0"/>
        <w:jc w:val="both"/>
        <w:rPr>
          <w:rStyle w:val="AGENDA1"/>
          <w:rFonts w:ascii="Gill Sans MT" w:hAnsi="Gill Sans MT"/>
          <w:b w:val="0"/>
          <w:bCs/>
          <w:i w:val="0"/>
          <w:iCs/>
          <w:color w:val="auto"/>
        </w:rPr>
      </w:pPr>
      <w:r w:rsidRPr="002B21B2">
        <w:rPr>
          <w:rStyle w:val="AGENDA1"/>
          <w:rFonts w:ascii="Gill Sans MT" w:hAnsi="Gill Sans MT"/>
          <w:b w:val="0"/>
          <w:bCs/>
          <w:i w:val="0"/>
          <w:iCs/>
          <w:color w:val="auto"/>
        </w:rPr>
        <w:t>Dr. Raj Kaushal request</w:t>
      </w:r>
      <w:r w:rsidR="00737419">
        <w:rPr>
          <w:rStyle w:val="AGENDA1"/>
          <w:rFonts w:ascii="Gill Sans MT" w:hAnsi="Gill Sans MT"/>
          <w:b w:val="0"/>
          <w:bCs/>
          <w:i w:val="0"/>
          <w:iCs/>
          <w:color w:val="auto"/>
        </w:rPr>
        <w:t>ed</w:t>
      </w:r>
      <w:r w:rsidRPr="002B21B2">
        <w:rPr>
          <w:rStyle w:val="AGENDA1"/>
          <w:rFonts w:ascii="Gill Sans MT" w:hAnsi="Gill Sans MT"/>
          <w:b w:val="0"/>
          <w:bCs/>
          <w:i w:val="0"/>
          <w:iCs/>
          <w:color w:val="auto"/>
        </w:rPr>
        <w:t xml:space="preserve"> approval of revised building elevations that paint the existing red brick an oyster white color.   </w:t>
      </w:r>
    </w:p>
    <w:p w:rsidR="00E419EE" w:rsidRDefault="00E419EE" w:rsidP="00E419EE">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revised </w:t>
      </w:r>
      <w:r w:rsidR="002B21B2">
        <w:rPr>
          <w:rStyle w:val="AGENDA1"/>
          <w:rFonts w:ascii="Gill Sans MT" w:hAnsi="Gill Sans MT"/>
          <w:b w:val="0"/>
          <w:i w:val="0"/>
          <w:color w:val="auto"/>
          <w:szCs w:val="24"/>
        </w:rPr>
        <w:t>building elevations</w:t>
      </w:r>
      <w:r w:rsidRPr="00CF2808">
        <w:rPr>
          <w:rStyle w:val="AGENDA1"/>
          <w:rFonts w:ascii="Gill Sans MT" w:hAnsi="Gill Sans MT"/>
          <w:b w:val="0"/>
          <w:i w:val="0"/>
          <w:color w:val="auto"/>
          <w:szCs w:val="24"/>
        </w:rPr>
        <w:t xml:space="preserve"> subject to the following conditions:</w:t>
      </w:r>
    </w:p>
    <w:p w:rsidR="00E419EE" w:rsidRDefault="00E419EE" w:rsidP="00E419EE">
      <w:pPr>
        <w:snapToGrid w:val="0"/>
        <w:jc w:val="both"/>
        <w:rPr>
          <w:rStyle w:val="AGENDA1"/>
          <w:rFonts w:ascii="Gill Sans MT" w:hAnsi="Gill Sans MT"/>
          <w:b w:val="0"/>
          <w:i w:val="0"/>
          <w:color w:val="auto"/>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A site plan shall be vested for a period of three years from the date of the original approval. </w:t>
      </w:r>
    </w:p>
    <w:p w:rsidR="002B21B2" w:rsidRPr="002B21B2" w:rsidRDefault="002B21B2" w:rsidP="000D6C60">
      <w:pPr>
        <w:tabs>
          <w:tab w:val="left" w:pos="900"/>
        </w:tabs>
        <w:snapToGrid w:val="0"/>
        <w:ind w:left="720"/>
        <w:contextualSpacing/>
        <w:jc w:val="both"/>
        <w:rPr>
          <w:snapToGrid w:val="0"/>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Add the following note to the site plan;</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r w:rsidRPr="002B21B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July 6, 2023, unless extended by the City of Brentwood.  Persons relying on this plan after said date should contact the City of Brentwood to determine if development may continue as depicted on the plan.  </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Any changes to plans approved by the Planning Commission will require staff review and re-approval by the Planning Commission.</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rFonts w:ascii="Gill Sans MT" w:hAnsi="Gill Sans MT" w:cs="Arial"/>
          <w:snapToGrid w:val="0"/>
          <w:szCs w:val="24"/>
        </w:rPr>
      </w:pPr>
      <w:r w:rsidRPr="002B21B2">
        <w:rPr>
          <w:rFonts w:ascii="Gill Sans MT" w:hAnsi="Gill Sans MT" w:cs="Arial"/>
          <w:snapToGrid w:val="0"/>
          <w:szCs w:val="24"/>
        </w:rPr>
        <w:t>Development of this project shall comply with all applicable codes and ordinances of the City of Brentwood.</w:t>
      </w:r>
    </w:p>
    <w:p w:rsidR="002B21B2" w:rsidRPr="002B21B2" w:rsidRDefault="002B21B2" w:rsidP="000D6C60">
      <w:pPr>
        <w:tabs>
          <w:tab w:val="left" w:pos="900"/>
        </w:tabs>
        <w:snapToGrid w:val="0"/>
        <w:ind w:left="720"/>
        <w:contextualSpacing/>
        <w:jc w:val="both"/>
        <w:rPr>
          <w:rFonts w:ascii="Gill Sans MT" w:hAnsi="Gill Sans MT" w:cs="Arial"/>
          <w:snapToGrid w:val="0"/>
          <w:szCs w:val="24"/>
        </w:rPr>
      </w:pPr>
    </w:p>
    <w:p w:rsidR="002B21B2" w:rsidRPr="002B21B2" w:rsidRDefault="002B21B2" w:rsidP="00EC520D">
      <w:pPr>
        <w:numPr>
          <w:ilvl w:val="0"/>
          <w:numId w:val="7"/>
        </w:numPr>
        <w:tabs>
          <w:tab w:val="left" w:pos="900"/>
        </w:tabs>
        <w:snapToGrid w:val="0"/>
        <w:contextualSpacing/>
        <w:jc w:val="both"/>
        <w:rPr>
          <w:snapToGrid w:val="0"/>
        </w:rPr>
      </w:pPr>
      <w:r w:rsidRPr="002B21B2">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2B21B2" w:rsidRDefault="002B21B2" w:rsidP="00E419EE">
      <w:pPr>
        <w:tabs>
          <w:tab w:val="left" w:pos="900"/>
        </w:tabs>
        <w:snapToGrid w:val="0"/>
        <w:ind w:left="907" w:hanging="907"/>
        <w:contextualSpacing/>
        <w:jc w:val="both"/>
        <w:rPr>
          <w:rFonts w:ascii="Gill Sans MT" w:hAnsi="Gill Sans MT" w:cs="Arial"/>
          <w:snapToGrid w:val="0"/>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0D6C60" w:rsidRPr="000D6C60">
        <w:rPr>
          <w:rStyle w:val="AGENDA1"/>
          <w:rFonts w:ascii="Gill Sans MT" w:hAnsi="Gill Sans MT"/>
          <w:i w:val="0"/>
          <w:color w:val="auto"/>
          <w:szCs w:val="24"/>
        </w:rPr>
        <w:t>BPC2006-012</w:t>
      </w:r>
      <w:r w:rsidR="000D6C60">
        <w:rPr>
          <w:rStyle w:val="AGENDA1"/>
          <w:rFonts w:ascii="Gill Sans MT" w:hAnsi="Gill Sans MT"/>
          <w:i w:val="0"/>
          <w:color w:val="auto"/>
          <w:szCs w:val="24"/>
        </w:rPr>
        <w:t xml:space="preserve"> </w:t>
      </w:r>
      <w:r w:rsidR="000D6C60" w:rsidRPr="000D6C60">
        <w:rPr>
          <w:rStyle w:val="AGENDA1"/>
          <w:rFonts w:ascii="Gill Sans MT" w:hAnsi="Gill Sans MT"/>
          <w:i w:val="0"/>
          <w:color w:val="auto"/>
          <w:szCs w:val="24"/>
        </w:rPr>
        <w:t>Hillside Protection Overlay Site Plan Review – Taramore Subdivision, Phase 12, Lot 189, 1918 New Bristol Lane, Zoning OSRD</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0D6C60" w:rsidRPr="000D6C60" w:rsidRDefault="000D6C60" w:rsidP="000D6C60">
      <w:pPr>
        <w:snapToGrid w:val="0"/>
        <w:jc w:val="both"/>
        <w:rPr>
          <w:rFonts w:ascii="Gill Sans MT" w:hAnsi="Gill Sans MT" w:cs="Arial"/>
          <w:szCs w:val="24"/>
        </w:rPr>
      </w:pPr>
      <w:r w:rsidRPr="000D6C60">
        <w:rPr>
          <w:rFonts w:ascii="Gill Sans MT" w:hAnsi="Gill Sans MT" w:cs="Arial"/>
          <w:szCs w:val="24"/>
        </w:rPr>
        <w:t>Wilson &amp; Associates, PC request</w:t>
      </w:r>
      <w:r w:rsidR="00737419">
        <w:rPr>
          <w:rFonts w:ascii="Gill Sans MT" w:hAnsi="Gill Sans MT" w:cs="Arial"/>
          <w:szCs w:val="24"/>
        </w:rPr>
        <w:t>ed</w:t>
      </w:r>
      <w:r w:rsidRPr="000D6C60">
        <w:rPr>
          <w:rFonts w:ascii="Gill Sans MT" w:hAnsi="Gill Sans MT" w:cs="Arial"/>
          <w:szCs w:val="24"/>
        </w:rPr>
        <w:t xml:space="preserve"> approval of a revised hillside protection overlay site plan that propose</w:t>
      </w:r>
      <w:r w:rsidR="00737419">
        <w:rPr>
          <w:rFonts w:ascii="Gill Sans MT" w:hAnsi="Gill Sans MT" w:cs="Arial"/>
          <w:szCs w:val="24"/>
        </w:rPr>
        <w:t>d</w:t>
      </w:r>
      <w:r w:rsidRPr="000D6C60">
        <w:rPr>
          <w:rFonts w:ascii="Gill Sans MT" w:hAnsi="Gill Sans MT" w:cs="Arial"/>
          <w:szCs w:val="24"/>
        </w:rPr>
        <w:t xml:space="preserve"> the following:</w:t>
      </w:r>
    </w:p>
    <w:p w:rsidR="000D6C60" w:rsidRPr="000D6C60" w:rsidRDefault="000D6C60" w:rsidP="000D6C60">
      <w:pPr>
        <w:snapToGrid w:val="0"/>
        <w:jc w:val="both"/>
        <w:rPr>
          <w:rFonts w:ascii="Gill Sans MT" w:hAnsi="Gill Sans MT" w:cs="Arial"/>
          <w:szCs w:val="24"/>
        </w:rPr>
      </w:pPr>
    </w:p>
    <w:tbl>
      <w:tblPr>
        <w:tblStyle w:val="TableGrid2"/>
        <w:tblW w:w="0" w:type="auto"/>
        <w:jc w:val="center"/>
        <w:tblLook w:val="04A0" w:firstRow="1" w:lastRow="0" w:firstColumn="1" w:lastColumn="0" w:noHBand="0" w:noVBand="1"/>
      </w:tblPr>
      <w:tblGrid>
        <w:gridCol w:w="3069"/>
        <w:gridCol w:w="2610"/>
      </w:tblGrid>
      <w:tr w:rsidR="000D6C60" w:rsidRPr="000D6C60" w:rsidTr="00240EDD">
        <w:trPr>
          <w:jc w:val="center"/>
        </w:trPr>
        <w:tc>
          <w:tcPr>
            <w:tcW w:w="5679" w:type="dxa"/>
            <w:gridSpan w:val="2"/>
            <w:shd w:val="clear" w:color="auto" w:fill="D9D9D9" w:themeFill="background1" w:themeFillShade="D9"/>
          </w:tcPr>
          <w:p w:rsidR="000D6C60" w:rsidRPr="000D6C60" w:rsidRDefault="000D6C60" w:rsidP="000D6C60">
            <w:pPr>
              <w:snapToGrid w:val="0"/>
              <w:jc w:val="center"/>
              <w:rPr>
                <w:rFonts w:ascii="Gill Sans MT" w:hAnsi="Gill Sans MT"/>
                <w:b/>
              </w:rPr>
            </w:pPr>
            <w:r w:rsidRPr="000D6C60">
              <w:rPr>
                <w:rFonts w:ascii="Gill Sans MT" w:hAnsi="Gill Sans MT"/>
                <w:b/>
              </w:rPr>
              <w:t>TARAMORE, LOT 189 – 1918 NEW BRISTOL LANE</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t>Lot Area (ac)</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1.00</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t>Building Footprint (sf)</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3,738</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lastRenderedPageBreak/>
              <w:t>Heated Area (sf)</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3,786</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t>Impervious Area (sf)</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5,566</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t>Green Space Provided (%)</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82.7</w:t>
            </w:r>
          </w:p>
        </w:tc>
      </w:tr>
      <w:tr w:rsidR="000D6C60" w:rsidRPr="000D6C60" w:rsidTr="00240EDD">
        <w:trPr>
          <w:jc w:val="center"/>
        </w:trPr>
        <w:tc>
          <w:tcPr>
            <w:tcW w:w="3069" w:type="dxa"/>
            <w:vAlign w:val="center"/>
          </w:tcPr>
          <w:p w:rsidR="000D6C60" w:rsidRPr="000D6C60" w:rsidRDefault="000D6C60" w:rsidP="000D6C60">
            <w:pPr>
              <w:snapToGrid w:val="0"/>
              <w:rPr>
                <w:rFonts w:ascii="Gill Sans MT" w:hAnsi="Gill Sans MT"/>
              </w:rPr>
            </w:pPr>
            <w:r w:rsidRPr="000D6C60">
              <w:rPr>
                <w:rFonts w:ascii="Gill Sans MT" w:hAnsi="Gill Sans MT"/>
              </w:rPr>
              <w:t>Green Space Required (%)</w:t>
            </w:r>
          </w:p>
        </w:tc>
        <w:tc>
          <w:tcPr>
            <w:tcW w:w="2610" w:type="dxa"/>
            <w:vAlign w:val="center"/>
          </w:tcPr>
          <w:p w:rsidR="000D6C60" w:rsidRPr="000D6C60" w:rsidRDefault="000D6C60" w:rsidP="000D6C60">
            <w:pPr>
              <w:snapToGrid w:val="0"/>
              <w:jc w:val="right"/>
              <w:rPr>
                <w:rFonts w:ascii="Gill Sans MT" w:hAnsi="Gill Sans MT"/>
              </w:rPr>
            </w:pPr>
            <w:r w:rsidRPr="000D6C60">
              <w:rPr>
                <w:rFonts w:ascii="Gill Sans MT" w:hAnsi="Gill Sans MT"/>
              </w:rPr>
              <w:t>40%</w:t>
            </w:r>
          </w:p>
        </w:tc>
      </w:tr>
    </w:tbl>
    <w:p w:rsidR="000D6C60" w:rsidRPr="000D6C60" w:rsidRDefault="000D6C60" w:rsidP="000D6C60">
      <w:pPr>
        <w:jc w:val="both"/>
        <w:rPr>
          <w:rFonts w:ascii="Gill Sans MT" w:hAnsi="Gill Sans MT" w:cs="Arial"/>
          <w:szCs w:val="24"/>
        </w:rPr>
      </w:pPr>
    </w:p>
    <w:p w:rsidR="00E419EE" w:rsidRPr="000D6C60" w:rsidRDefault="000D6C60" w:rsidP="000D6C60">
      <w:pPr>
        <w:snapToGrid w:val="0"/>
        <w:jc w:val="both"/>
        <w:rPr>
          <w:rFonts w:ascii="Gill Sans MT" w:hAnsi="Gill Sans MT" w:cs="Arial"/>
          <w:bCs/>
          <w:szCs w:val="24"/>
        </w:rPr>
      </w:pPr>
      <w:r w:rsidRPr="000D6C60">
        <w:rPr>
          <w:rFonts w:ascii="Gill Sans MT" w:hAnsi="Gill Sans MT" w:cs="Arial"/>
          <w:bCs/>
          <w:szCs w:val="24"/>
        </w:rPr>
        <w:t>The exterior of the proposed home will be beige brick, with beige horizontal siding and trim accents.</w:t>
      </w:r>
    </w:p>
    <w:p w:rsidR="000D6C60" w:rsidRDefault="000D6C60" w:rsidP="000D6C60">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the proposed hillside protection overlay site plan</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A hillside protection overlay site plan shall be vested for a period of three years from the date of the original approval.  </w:t>
      </w:r>
    </w:p>
    <w:p w:rsidR="00E419EE" w:rsidRDefault="00E419EE"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Add the following note to the Hillside Protection Overlay site plan;</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r w:rsidRPr="000D6C6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July 6, 2023, unless extended by the City of Brentwood.  Persons relying on this plan after said date should contact the City of Brentwood to determine if development may continue as depicted on the plan.  </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lastRenderedPageBreak/>
        <w:t>Pending HP approval by Planning Commission, a Grading Permit and Building Permit will be required prior to construction.  An NOI and SWPPP will be required prior to these permit approvals</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The property owner is responsible for all development fees including water and sewer service and tap fees, building permit fees and Public Works Project Fees.</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Development of this project shall comply with all applicable codes and ordinances of the City of Brentwood.</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E419EE" w:rsidRDefault="000D6C60" w:rsidP="00EC520D">
      <w:pPr>
        <w:numPr>
          <w:ilvl w:val="0"/>
          <w:numId w:val="8"/>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E419EE" w:rsidRDefault="00E419EE" w:rsidP="00BA333E">
      <w:pPr>
        <w:tabs>
          <w:tab w:val="left" w:pos="900"/>
        </w:tabs>
        <w:snapToGrid w:val="0"/>
        <w:ind w:left="907" w:hanging="907"/>
        <w:contextualSpacing/>
        <w:jc w:val="both"/>
        <w:rPr>
          <w:rStyle w:val="AGENDA1"/>
          <w:rFonts w:ascii="Gill Sans MT" w:hAnsi="Gill Sans MT"/>
          <w:i w:val="0"/>
          <w:color w:val="auto"/>
          <w:szCs w:val="24"/>
        </w:rPr>
      </w:pPr>
    </w:p>
    <w:p w:rsidR="000D6C60" w:rsidRPr="00CF2808" w:rsidRDefault="000D6C60" w:rsidP="000D6C60">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Pr>
          <w:rStyle w:val="AGENDA1"/>
          <w:rFonts w:ascii="Gill Sans MT" w:hAnsi="Gill Sans MT"/>
          <w:b w:val="0"/>
          <w:i w:val="0"/>
          <w:color w:val="auto"/>
        </w:rPr>
        <w:t>Pippen</w:t>
      </w:r>
      <w:r w:rsidRPr="00CF2808">
        <w:rPr>
          <w:rStyle w:val="AGENDA1"/>
          <w:rFonts w:ascii="Gill Sans MT" w:hAnsi="Gill Sans MT"/>
          <w:b w:val="0"/>
          <w:i w:val="0"/>
          <w:color w:val="auto"/>
        </w:rPr>
        <w:t xml:space="preserve"> moved for approval of the items on the Consent Agenda.  Seconded by M</w:t>
      </w:r>
      <w:bookmarkStart w:id="0" w:name="_Hlk32561718"/>
      <w:r>
        <w:rPr>
          <w:rStyle w:val="AGENDA1"/>
          <w:rFonts w:ascii="Gill Sans MT" w:hAnsi="Gill Sans MT"/>
          <w:b w:val="0"/>
          <w:i w:val="0"/>
          <w:color w:val="auto"/>
        </w:rPr>
        <w:t>r. Oliver</w:t>
      </w:r>
      <w:r w:rsidRPr="00CF2808">
        <w:rPr>
          <w:rStyle w:val="AGENDA1"/>
          <w:rFonts w:ascii="Gill Sans MT" w:hAnsi="Gill Sans MT"/>
          <w:b w:val="0"/>
          <w:i w:val="0"/>
          <w:color w:val="auto"/>
        </w:rPr>
        <w:t>; motion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CF2808">
        <w:rPr>
          <w:rFonts w:ascii="Gill Sans MT" w:hAnsi="Gill Sans MT" w:cs="Arial"/>
          <w:szCs w:val="24"/>
        </w:rPr>
        <w:t>REGULAR AGENDA</w:t>
      </w:r>
    </w:p>
    <w:p w:rsidR="00102EFF" w:rsidRPr="00CF2808" w:rsidRDefault="00102EFF" w:rsidP="00102EFF">
      <w:pPr>
        <w:rPr>
          <w:rFonts w:ascii="Gill Sans MT" w:hAnsi="Gill Sans MT" w:cs="Arial"/>
          <w:szCs w:val="24"/>
        </w:rPr>
      </w:pPr>
    </w:p>
    <w:p w:rsidR="00013499" w:rsidRDefault="00102EFF" w:rsidP="00CF2808">
      <w:pPr>
        <w:tabs>
          <w:tab w:val="left" w:pos="900"/>
        </w:tabs>
        <w:ind w:left="900" w:hanging="900"/>
        <w:contextualSpacing/>
        <w:jc w:val="both"/>
        <w:rPr>
          <w:rStyle w:val="PageNumber"/>
          <w:rFonts w:ascii="Gill Sans MT" w:hAnsi="Gill Sans MT" w:cs="Arial"/>
          <w:b/>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0D6C60" w:rsidRPr="000D6C60">
        <w:rPr>
          <w:rStyle w:val="PageNumber"/>
          <w:rFonts w:ascii="Gill Sans MT" w:hAnsi="Gill Sans MT" w:cs="Arial"/>
          <w:b/>
          <w:szCs w:val="24"/>
        </w:rPr>
        <w:t>BPC2006-004</w:t>
      </w:r>
      <w:r w:rsidR="000D6C60" w:rsidRPr="000D6C60">
        <w:rPr>
          <w:rStyle w:val="PageNumber"/>
          <w:rFonts w:ascii="Gill Sans MT" w:hAnsi="Gill Sans MT" w:cs="Arial"/>
          <w:b/>
          <w:szCs w:val="24"/>
        </w:rPr>
        <w:tab/>
        <w:t>Final Plat – Broad Oaks Subdivision, Wilson Pike, Zoning R-</w:t>
      </w:r>
      <w:r w:rsidR="000D6C60">
        <w:rPr>
          <w:rStyle w:val="PageNumber"/>
          <w:rFonts w:ascii="Gill Sans MT" w:hAnsi="Gill Sans MT" w:cs="Arial"/>
          <w:b/>
          <w:szCs w:val="24"/>
        </w:rPr>
        <w:t>2</w:t>
      </w:r>
    </w:p>
    <w:p w:rsidR="000D6C60" w:rsidRDefault="000D6C60" w:rsidP="00CF2808">
      <w:pPr>
        <w:tabs>
          <w:tab w:val="left" w:pos="900"/>
        </w:tabs>
        <w:ind w:left="900" w:hanging="900"/>
        <w:contextualSpacing/>
        <w:jc w:val="both"/>
        <w:rPr>
          <w:rStyle w:val="PageNumber"/>
          <w:rFonts w:ascii="Gill Sans MT" w:hAnsi="Gill Sans MT" w:cs="Arial"/>
          <w:b/>
          <w:szCs w:val="24"/>
        </w:rPr>
      </w:pPr>
    </w:p>
    <w:p w:rsidR="000D6C60" w:rsidRPr="000D6C60" w:rsidRDefault="000D6C60" w:rsidP="000D6C60">
      <w:pPr>
        <w:jc w:val="both"/>
        <w:outlineLvl w:val="0"/>
        <w:rPr>
          <w:rFonts w:ascii="Gill Sans MT" w:hAnsi="Gill Sans MT"/>
          <w:bCs/>
          <w:szCs w:val="24"/>
        </w:rPr>
      </w:pPr>
      <w:r w:rsidRPr="000D6C60">
        <w:rPr>
          <w:rFonts w:ascii="Gill Sans MT" w:hAnsi="Gill Sans MT"/>
          <w:bCs/>
          <w:szCs w:val="24"/>
        </w:rPr>
        <w:t>Ragan Smith Associates request</w:t>
      </w:r>
      <w:r w:rsidR="00737419">
        <w:rPr>
          <w:rFonts w:ascii="Gill Sans MT" w:hAnsi="Gill Sans MT"/>
          <w:bCs/>
          <w:szCs w:val="24"/>
        </w:rPr>
        <w:t>ed</w:t>
      </w:r>
      <w:r w:rsidRPr="000D6C60">
        <w:rPr>
          <w:rFonts w:ascii="Gill Sans MT" w:hAnsi="Gill Sans MT"/>
          <w:bCs/>
          <w:szCs w:val="24"/>
        </w:rPr>
        <w:t xml:space="preserve"> approval of a final plat that show</w:t>
      </w:r>
      <w:r w:rsidR="00737419">
        <w:rPr>
          <w:rFonts w:ascii="Gill Sans MT" w:hAnsi="Gill Sans MT"/>
          <w:bCs/>
          <w:szCs w:val="24"/>
        </w:rPr>
        <w:t>ed</w:t>
      </w:r>
      <w:r w:rsidRPr="000D6C60">
        <w:rPr>
          <w:rFonts w:ascii="Gill Sans MT" w:hAnsi="Gill Sans MT"/>
          <w:bCs/>
          <w:szCs w:val="24"/>
        </w:rPr>
        <w:t xml:space="preserve"> eight lots on approximately 24 acres. </w:t>
      </w:r>
    </w:p>
    <w:p w:rsidR="000D6C60" w:rsidRPr="000D6C60" w:rsidRDefault="000D6C60" w:rsidP="000D6C60">
      <w:pPr>
        <w:jc w:val="both"/>
        <w:outlineLvl w:val="0"/>
        <w:rPr>
          <w:rFonts w:ascii="Gill Sans MT" w:hAnsi="Gill Sans MT"/>
          <w:bCs/>
          <w:szCs w:val="24"/>
        </w:rPr>
      </w:pPr>
    </w:p>
    <w:p w:rsidR="000D6C60" w:rsidRDefault="000D6C60" w:rsidP="000D6C60">
      <w:pPr>
        <w:jc w:val="both"/>
        <w:outlineLvl w:val="0"/>
        <w:rPr>
          <w:rFonts w:ascii="Gill Sans MT" w:hAnsi="Gill Sans MT"/>
          <w:bCs/>
          <w:szCs w:val="24"/>
        </w:rPr>
      </w:pPr>
      <w:r w:rsidRPr="000D6C60">
        <w:rPr>
          <w:rFonts w:ascii="Gill Sans MT" w:hAnsi="Gill Sans MT"/>
          <w:bCs/>
          <w:szCs w:val="24"/>
        </w:rPr>
        <w:t>The Geotechnical report note</w:t>
      </w:r>
      <w:r w:rsidR="00737419">
        <w:rPr>
          <w:rFonts w:ascii="Gill Sans MT" w:hAnsi="Gill Sans MT"/>
          <w:bCs/>
          <w:szCs w:val="24"/>
        </w:rPr>
        <w:t>d</w:t>
      </w:r>
      <w:r w:rsidRPr="000D6C60">
        <w:rPr>
          <w:rFonts w:ascii="Gill Sans MT" w:hAnsi="Gill Sans MT"/>
          <w:bCs/>
          <w:szCs w:val="24"/>
        </w:rPr>
        <w:t xml:space="preserve"> that the existing fill materials appear to be suitable for support of the roads and parking lots.  Each lot </w:t>
      </w:r>
      <w:r w:rsidR="00737419">
        <w:rPr>
          <w:rFonts w:ascii="Gill Sans MT" w:hAnsi="Gill Sans MT"/>
          <w:bCs/>
          <w:szCs w:val="24"/>
        </w:rPr>
        <w:t>was</w:t>
      </w:r>
      <w:r w:rsidRPr="000D6C60">
        <w:rPr>
          <w:rFonts w:ascii="Gill Sans MT" w:hAnsi="Gill Sans MT"/>
          <w:bCs/>
          <w:szCs w:val="24"/>
        </w:rPr>
        <w:t xml:space="preserve"> labeled “Transitional” and, as part of the plan submitted for building permit review, a licensed geotechnical engineer shall complete an inspection and prepare a report, which will be provided with the submittal of a plan for building permit review.  </w:t>
      </w:r>
    </w:p>
    <w:p w:rsidR="000D6C60" w:rsidRDefault="000D6C60" w:rsidP="000D6C60">
      <w:pPr>
        <w:jc w:val="both"/>
        <w:outlineLvl w:val="0"/>
        <w:rPr>
          <w:rFonts w:ascii="Gill Sans MT" w:hAnsi="Gill Sans MT" w:cs="Arial"/>
          <w:szCs w:val="24"/>
        </w:rPr>
      </w:pPr>
    </w:p>
    <w:p w:rsidR="000D6C60" w:rsidRPr="00CF2808" w:rsidRDefault="000D6C60" w:rsidP="000D6C60">
      <w:pPr>
        <w:jc w:val="both"/>
        <w:outlineLvl w:val="0"/>
        <w:rPr>
          <w:rFonts w:ascii="Gill Sans MT" w:hAnsi="Gill Sans MT" w:cs="Arial"/>
          <w:szCs w:val="24"/>
        </w:rPr>
      </w:pPr>
      <w:r>
        <w:rPr>
          <w:rFonts w:ascii="Gill Sans MT" w:hAnsi="Gill Sans MT" w:cs="Arial"/>
          <w:szCs w:val="24"/>
        </w:rPr>
        <w:lastRenderedPageBreak/>
        <w:t>Mr. Pippin</w:t>
      </w:r>
      <w:r w:rsidRPr="00CF2808">
        <w:rPr>
          <w:rFonts w:ascii="Gill Sans MT" w:hAnsi="Gill Sans MT" w:cs="Arial"/>
          <w:szCs w:val="24"/>
        </w:rPr>
        <w:t xml:space="preserve"> moved for approval of the proposed </w:t>
      </w:r>
      <w:r>
        <w:rPr>
          <w:rFonts w:ascii="Gill Sans MT" w:hAnsi="Gill Sans MT" w:cs="Arial"/>
          <w:szCs w:val="24"/>
        </w:rPr>
        <w:t xml:space="preserve">final plat </w:t>
      </w:r>
      <w:r w:rsidRPr="00CF2808">
        <w:rPr>
          <w:rFonts w:ascii="Gill Sans MT" w:hAnsi="Gill Sans MT" w:cs="Arial"/>
          <w:szCs w:val="24"/>
        </w:rPr>
        <w:t>subject to the following conditions being met to the satisfaction of staff:</w:t>
      </w:r>
    </w:p>
    <w:p w:rsidR="000D6C60" w:rsidRPr="00CF2808" w:rsidRDefault="000D6C60" w:rsidP="000D6C60">
      <w:pPr>
        <w:tabs>
          <w:tab w:val="left" w:pos="900"/>
        </w:tabs>
        <w:snapToGrid w:val="0"/>
        <w:contextualSpacing/>
        <w:jc w:val="both"/>
        <w:rPr>
          <w:rStyle w:val="AGENDA1"/>
          <w:rFonts w:ascii="Gill Sans MT" w:hAnsi="Gill Sans MT"/>
          <w:b w:val="0"/>
          <w:i w:val="0"/>
          <w:color w:val="auto"/>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Add the following note to the plat: “All lots designated with an asterisk (*) are transitional and subject to the requirements of the geotechnical report.”</w:t>
      </w:r>
    </w:p>
    <w:p w:rsidR="000D6C60" w:rsidRPr="000D6C60" w:rsidRDefault="000D6C60" w:rsidP="000D6C60">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Remove the references to “Critical Lot” and replace with “Transitional Lot” on all pages of the plat. </w:t>
      </w:r>
    </w:p>
    <w:p w:rsidR="000D6C60" w:rsidRPr="000D6C60" w:rsidRDefault="000D6C60" w:rsidP="000D6C60">
      <w:pPr>
        <w:tabs>
          <w:tab w:val="left" w:pos="900"/>
        </w:tabs>
        <w:snapToGrid w:val="0"/>
        <w:ind w:left="36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Approval of a final plat by the Planning Commission shall become effective upon the date of the last signature required on the plat for recording.  The initial vesting period shall be for five years after approval.  </w:t>
      </w:r>
    </w:p>
    <w:p w:rsidR="000D6C60" w:rsidRPr="000D6C60" w:rsidRDefault="000D6C60" w:rsidP="000D6C60">
      <w:pPr>
        <w:tabs>
          <w:tab w:val="left" w:pos="900"/>
        </w:tabs>
        <w:snapToGrid w:val="0"/>
        <w:ind w:left="36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Per the approved construction plans, add the minimum Lowest Floor Elevation (L.F.E.) to lots five through eight.</w:t>
      </w:r>
    </w:p>
    <w:p w:rsidR="000D6C60" w:rsidRPr="000D6C60" w:rsidRDefault="000D6C60" w:rsidP="000D6C60">
      <w:pPr>
        <w:tabs>
          <w:tab w:val="left" w:pos="900"/>
        </w:tabs>
        <w:snapToGrid w:val="0"/>
        <w:ind w:left="36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An as-built grading plan must be submitted showing compliance with the approved construction plans.  The plat cannot be signed for recording until the as-built grading plan has been approved by the engineering department.  </w:t>
      </w:r>
    </w:p>
    <w:p w:rsidR="000D6C60" w:rsidRPr="000D6C60" w:rsidRDefault="000D6C60" w:rsidP="000D6C60">
      <w:pPr>
        <w:tabs>
          <w:tab w:val="left" w:pos="900"/>
        </w:tabs>
        <w:snapToGrid w:val="0"/>
        <w:ind w:left="36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Add the following note to all pages of the final plat:</w:t>
      </w:r>
    </w:p>
    <w:p w:rsidR="000D6C60" w:rsidRPr="000D6C60" w:rsidRDefault="000D6C60" w:rsidP="000D6C60">
      <w:pPr>
        <w:tabs>
          <w:tab w:val="left" w:pos="900"/>
        </w:tabs>
        <w:snapToGrid w:val="0"/>
        <w:ind w:left="360"/>
        <w:contextualSpacing/>
        <w:jc w:val="both"/>
        <w:rPr>
          <w:rFonts w:ascii="Gill Sans MT" w:hAnsi="Gill Sans MT" w:cs="Arial"/>
          <w:snapToGrid w:val="0"/>
          <w:szCs w:val="24"/>
        </w:rPr>
      </w:pP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r w:rsidRPr="000D6C60">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sidR="00EC520D">
        <w:rPr>
          <w:rFonts w:ascii="Gill Sans MT" w:hAnsi="Gill Sans MT" w:cs="Arial"/>
          <w:snapToGrid w:val="0"/>
          <w:szCs w:val="24"/>
        </w:rPr>
        <w:t>___________</w:t>
      </w:r>
      <w:r w:rsidRPr="000D6C60">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r w:rsidRPr="000D6C60">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Prior to signing of plat by water services department, the following must be submitted for review and approval: Water and Sewer Construction As-builts (CAD, PDF, Paper); CCTV inspection videos of all gravity sewers with software database file; Water and sewer infrastructure construction cost breakdown summary.</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 xml:space="preserve">Adequate security that meets the requirements of Article VIII of the Brentwood Subdivision Regulations must be provided for all improvements – roadway, drainage, utilities, water, sewer, landscaping, street trees, and signage improvements must be provided for staff review before the plat may be released for recording.  The landscaping amount shall be provided at 110% of the total amount of all materials, installation and irrigation improvements. </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Any changes to plans approved by the Planning Commission will require staff review and re-approval by the Planning Commission.</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Development of this project shall comply with all applicable codes and ordinances of the City of Brentwood.</w:t>
      </w:r>
    </w:p>
    <w:p w:rsidR="000D6C60" w:rsidRPr="000D6C60" w:rsidRDefault="000D6C60" w:rsidP="00EC520D">
      <w:pPr>
        <w:tabs>
          <w:tab w:val="left" w:pos="900"/>
        </w:tabs>
        <w:snapToGrid w:val="0"/>
        <w:ind w:left="720"/>
        <w:contextualSpacing/>
        <w:jc w:val="both"/>
        <w:rPr>
          <w:rFonts w:ascii="Gill Sans MT" w:hAnsi="Gill Sans MT" w:cs="Arial"/>
          <w:snapToGrid w:val="0"/>
          <w:szCs w:val="24"/>
        </w:rPr>
      </w:pPr>
    </w:p>
    <w:p w:rsidR="000D6C60" w:rsidRPr="000D6C60" w:rsidRDefault="000D6C60" w:rsidP="00EC520D">
      <w:pPr>
        <w:numPr>
          <w:ilvl w:val="0"/>
          <w:numId w:val="9"/>
        </w:numPr>
        <w:tabs>
          <w:tab w:val="left" w:pos="900"/>
        </w:tabs>
        <w:snapToGrid w:val="0"/>
        <w:contextualSpacing/>
        <w:jc w:val="both"/>
        <w:rPr>
          <w:rFonts w:ascii="Gill Sans MT" w:hAnsi="Gill Sans MT" w:cs="Arial"/>
          <w:snapToGrid w:val="0"/>
          <w:szCs w:val="24"/>
        </w:rPr>
      </w:pPr>
      <w:r w:rsidRPr="000D6C60">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0D6C60" w:rsidRPr="00CF2808" w:rsidRDefault="000D6C60" w:rsidP="000D6C60">
      <w:pPr>
        <w:tabs>
          <w:tab w:val="left" w:pos="900"/>
        </w:tabs>
        <w:snapToGrid w:val="0"/>
        <w:contextualSpacing/>
        <w:jc w:val="both"/>
        <w:rPr>
          <w:rStyle w:val="AGENDA1"/>
          <w:rFonts w:ascii="Gill Sans MT" w:hAnsi="Gill Sans MT"/>
          <w:b w:val="0"/>
          <w:i w:val="0"/>
          <w:color w:val="auto"/>
          <w:szCs w:val="24"/>
        </w:rPr>
      </w:pPr>
    </w:p>
    <w:p w:rsidR="000D6C60" w:rsidRPr="00CF2808" w:rsidRDefault="00EC520D" w:rsidP="000D6C60">
      <w:pPr>
        <w:tabs>
          <w:tab w:val="left" w:pos="900"/>
        </w:tabs>
        <w:ind w:left="900" w:hanging="900"/>
        <w:contextualSpacing/>
        <w:jc w:val="both"/>
        <w:rPr>
          <w:rFonts w:ascii="Gill Sans MT" w:hAnsi="Gill Sans MT" w:cs="Arial"/>
          <w:szCs w:val="24"/>
        </w:rPr>
      </w:pPr>
      <w:r>
        <w:rPr>
          <w:rStyle w:val="AGENDA1"/>
          <w:rFonts w:ascii="Gill Sans MT" w:hAnsi="Gill Sans MT"/>
          <w:b w:val="0"/>
          <w:i w:val="0"/>
          <w:color w:val="auto"/>
          <w:szCs w:val="24"/>
        </w:rPr>
        <w:t>Mr. Oliver</w:t>
      </w:r>
      <w:r w:rsidR="000D6C60">
        <w:rPr>
          <w:rStyle w:val="AGENDA1"/>
          <w:rFonts w:ascii="Gill Sans MT" w:hAnsi="Gill Sans MT"/>
          <w:b w:val="0"/>
          <w:i w:val="0"/>
          <w:color w:val="auto"/>
          <w:szCs w:val="24"/>
        </w:rPr>
        <w:t xml:space="preserve"> </w:t>
      </w:r>
      <w:r w:rsidR="000D6C60" w:rsidRPr="00CF2808">
        <w:rPr>
          <w:rStyle w:val="AGENDA1"/>
          <w:rFonts w:ascii="Gill Sans MT" w:hAnsi="Gill Sans MT"/>
          <w:b w:val="0"/>
          <w:i w:val="0"/>
          <w:color w:val="auto"/>
          <w:szCs w:val="24"/>
        </w:rPr>
        <w:t>seconded; motion was approved unanimously.</w:t>
      </w:r>
    </w:p>
    <w:p w:rsidR="00CF2808" w:rsidRDefault="00CF2808" w:rsidP="00013499">
      <w:pPr>
        <w:jc w:val="both"/>
        <w:outlineLvl w:val="0"/>
        <w:rPr>
          <w:rFonts w:ascii="Gill Sans MT" w:hAnsi="Gill Sans MT" w:cs="Arial"/>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EC520D" w:rsidRPr="00EC520D">
        <w:rPr>
          <w:rStyle w:val="PageNumber"/>
          <w:rFonts w:ascii="Gill Sans MT" w:hAnsi="Gill Sans MT" w:cs="Arial"/>
          <w:b/>
          <w:szCs w:val="24"/>
        </w:rPr>
        <w:t>BPC2006-005</w:t>
      </w:r>
      <w:r w:rsidR="00EC520D">
        <w:rPr>
          <w:rStyle w:val="PageNumber"/>
          <w:rFonts w:ascii="Gill Sans MT" w:hAnsi="Gill Sans MT" w:cs="Arial"/>
          <w:b/>
          <w:szCs w:val="24"/>
        </w:rPr>
        <w:t xml:space="preserve"> </w:t>
      </w:r>
      <w:r w:rsidR="00EC520D" w:rsidRPr="00EC520D">
        <w:rPr>
          <w:rStyle w:val="PageNumber"/>
          <w:rFonts w:ascii="Gill Sans MT" w:hAnsi="Gill Sans MT" w:cs="Arial"/>
          <w:b/>
          <w:szCs w:val="24"/>
        </w:rPr>
        <w:t>Revised Site Plan – 5301 Maryland Way, Surface Parking, Zoning C-1</w:t>
      </w:r>
    </w:p>
    <w:p w:rsidR="00B34C33" w:rsidRPr="00CF2808" w:rsidRDefault="00B34C33" w:rsidP="00B34C33">
      <w:pPr>
        <w:jc w:val="both"/>
        <w:outlineLvl w:val="0"/>
        <w:rPr>
          <w:rFonts w:ascii="Gill Sans MT" w:hAnsi="Gill Sans MT" w:cs="Arial"/>
          <w:szCs w:val="24"/>
        </w:rPr>
      </w:pPr>
    </w:p>
    <w:p w:rsidR="00EC520D" w:rsidRPr="00EC520D" w:rsidRDefault="00EC520D" w:rsidP="00EC520D">
      <w:pPr>
        <w:snapToGrid w:val="0"/>
        <w:jc w:val="both"/>
        <w:rPr>
          <w:rFonts w:ascii="Gill Sans MT" w:hAnsi="Gill Sans MT" w:cs="Arial"/>
          <w:iCs/>
          <w:szCs w:val="24"/>
        </w:rPr>
      </w:pPr>
      <w:r w:rsidRPr="00EC520D">
        <w:rPr>
          <w:rFonts w:ascii="Gill Sans MT" w:hAnsi="Gill Sans MT" w:cs="Arial"/>
          <w:iCs/>
          <w:szCs w:val="24"/>
        </w:rPr>
        <w:t>Gresham Smith &amp; Partners request</w:t>
      </w:r>
      <w:r w:rsidR="00737419">
        <w:rPr>
          <w:rFonts w:ascii="Gill Sans MT" w:hAnsi="Gill Sans MT" w:cs="Arial"/>
          <w:iCs/>
          <w:szCs w:val="24"/>
        </w:rPr>
        <w:t>ed</w:t>
      </w:r>
      <w:r w:rsidRPr="00EC520D">
        <w:rPr>
          <w:rFonts w:ascii="Gill Sans MT" w:hAnsi="Gill Sans MT" w:cs="Arial"/>
          <w:iCs/>
          <w:szCs w:val="24"/>
        </w:rPr>
        <w:t xml:space="preserve"> approval to rework the existing parking lot.  The proposal will increase the off-street parking at the site, adding 147 parking spaces for a total of 862.  The area of the building will not be affected. </w:t>
      </w:r>
    </w:p>
    <w:p w:rsidR="00EC520D" w:rsidRPr="00EC520D" w:rsidRDefault="00EC520D" w:rsidP="00EC520D">
      <w:pPr>
        <w:snapToGrid w:val="0"/>
        <w:jc w:val="both"/>
        <w:rPr>
          <w:rFonts w:ascii="Gill Sans MT" w:hAnsi="Gill Sans MT" w:cs="Arial"/>
          <w:iCs/>
          <w:szCs w:val="24"/>
        </w:rPr>
      </w:pPr>
    </w:p>
    <w:p w:rsidR="00EC520D" w:rsidRPr="00EC520D" w:rsidRDefault="00EC520D" w:rsidP="00EC520D">
      <w:pPr>
        <w:snapToGrid w:val="0"/>
        <w:jc w:val="both"/>
        <w:rPr>
          <w:rFonts w:ascii="Gill Sans MT" w:hAnsi="Gill Sans MT" w:cs="Arial"/>
          <w:iCs/>
          <w:szCs w:val="24"/>
        </w:rPr>
      </w:pPr>
      <w:r w:rsidRPr="00EC520D">
        <w:rPr>
          <w:rFonts w:ascii="Gill Sans MT" w:hAnsi="Gill Sans MT" w:cs="Arial"/>
          <w:iCs/>
          <w:szCs w:val="24"/>
        </w:rPr>
        <w:t xml:space="preserve">A traffic impact study was provided as part of the submittal.  The City’s traffic engineer has reviewed the study. He did not have any significant comments related to the study. </w:t>
      </w:r>
    </w:p>
    <w:p w:rsidR="00EC520D" w:rsidRPr="00EC520D" w:rsidRDefault="00EC520D" w:rsidP="00EC520D">
      <w:pPr>
        <w:snapToGrid w:val="0"/>
        <w:jc w:val="both"/>
        <w:rPr>
          <w:rFonts w:ascii="Gill Sans MT" w:hAnsi="Gill Sans MT" w:cs="Arial"/>
          <w:iCs/>
          <w:szCs w:val="24"/>
        </w:rPr>
      </w:pPr>
    </w:p>
    <w:p w:rsidR="00EC520D" w:rsidRPr="00EC520D" w:rsidRDefault="00EC520D" w:rsidP="00EC520D">
      <w:pPr>
        <w:snapToGrid w:val="0"/>
        <w:jc w:val="both"/>
        <w:rPr>
          <w:rFonts w:ascii="Gill Sans MT" w:hAnsi="Gill Sans MT" w:cs="Arial"/>
          <w:iCs/>
          <w:szCs w:val="24"/>
        </w:rPr>
      </w:pPr>
      <w:r w:rsidRPr="00EC520D">
        <w:rPr>
          <w:rFonts w:ascii="Gill Sans MT" w:hAnsi="Gill Sans MT" w:cs="Arial"/>
          <w:iCs/>
          <w:szCs w:val="24"/>
        </w:rPr>
        <w:t>The proposed off-street parking improvements to the office complex involve</w:t>
      </w:r>
      <w:r w:rsidR="00737419">
        <w:rPr>
          <w:rFonts w:ascii="Gill Sans MT" w:hAnsi="Gill Sans MT" w:cs="Arial"/>
          <w:iCs/>
          <w:szCs w:val="24"/>
        </w:rPr>
        <w:t>d</w:t>
      </w:r>
      <w:r w:rsidRPr="00EC520D">
        <w:rPr>
          <w:rFonts w:ascii="Gill Sans MT" w:hAnsi="Gill Sans MT" w:cs="Arial"/>
          <w:iCs/>
          <w:szCs w:val="24"/>
        </w:rPr>
        <w:t xml:space="preserve"> the reconfiguration, and resurfacing, of a portion of the existing available parking area. Asphalt pavement, concrete sidewalks, site lights, and ADA signage will be updated, along with improved </w:t>
      </w:r>
      <w:r w:rsidRPr="00EC520D">
        <w:rPr>
          <w:rFonts w:ascii="Gill Sans MT" w:hAnsi="Gill Sans MT" w:cs="Arial"/>
          <w:iCs/>
          <w:szCs w:val="24"/>
        </w:rPr>
        <w:lastRenderedPageBreak/>
        <w:t xml:space="preserve">stormwater infrastructure to treat and detain runoff per the City’s Stormwater Management Program. Erosion Protection &amp; Sediment Control (EPSC) measures will be implemented across the project site and permitted by TDEC. </w:t>
      </w:r>
    </w:p>
    <w:p w:rsidR="00EC520D" w:rsidRPr="00EC520D" w:rsidRDefault="00EC520D" w:rsidP="00EC520D">
      <w:pPr>
        <w:jc w:val="both"/>
        <w:rPr>
          <w:rFonts w:ascii="Gill Sans MT" w:hAnsi="Gill Sans MT" w:cs="Arial"/>
          <w:b/>
          <w:iCs/>
          <w:color w:val="0000CC"/>
          <w:szCs w:val="24"/>
          <w:u w:val="single"/>
        </w:rPr>
      </w:pPr>
      <w:bookmarkStart w:id="1" w:name="_Hlk44403286"/>
    </w:p>
    <w:tbl>
      <w:tblPr>
        <w:tblStyle w:val="TableGrid"/>
        <w:tblW w:w="0" w:type="auto"/>
        <w:jc w:val="center"/>
        <w:tblLook w:val="04A0" w:firstRow="1" w:lastRow="0" w:firstColumn="1" w:lastColumn="0" w:noHBand="0" w:noVBand="1"/>
      </w:tblPr>
      <w:tblGrid>
        <w:gridCol w:w="3510"/>
        <w:gridCol w:w="1710"/>
      </w:tblGrid>
      <w:tr w:rsidR="00EC520D" w:rsidRPr="00EC520D" w:rsidTr="00240EDD">
        <w:trPr>
          <w:jc w:val="center"/>
        </w:trPr>
        <w:tc>
          <w:tcPr>
            <w:tcW w:w="5220" w:type="dxa"/>
            <w:gridSpan w:val="2"/>
          </w:tcPr>
          <w:p w:rsidR="00EC520D" w:rsidRPr="00EC520D" w:rsidRDefault="00EC520D" w:rsidP="00EC520D">
            <w:pPr>
              <w:jc w:val="center"/>
              <w:rPr>
                <w:rFonts w:ascii="Gill Sans MT" w:hAnsi="Gill Sans MT" w:cs="Arial"/>
                <w:b/>
                <w:iCs/>
                <w:szCs w:val="24"/>
              </w:rPr>
            </w:pPr>
            <w:r w:rsidRPr="00EC520D">
              <w:rPr>
                <w:rFonts w:ascii="Gill Sans MT" w:hAnsi="Gill Sans MT" w:cs="Arial"/>
                <w:b/>
                <w:iCs/>
                <w:szCs w:val="24"/>
              </w:rPr>
              <w:t>SITE CALCULATIONS</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Lot Area </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11.99 Acres</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Building Area</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 xml:space="preserve">200,779 Sq. Ft. </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Parking Required </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669</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Existing Spaces</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715</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Proposed Spaces</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862</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Accessible Spaces Required</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18</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Accessible Spaces Provided </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19</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Compact Spaces Provided (19%)</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166</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Compact Spaces Permitted (20%)</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172</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Green Space Existing </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28%</w:t>
            </w:r>
          </w:p>
        </w:tc>
      </w:tr>
      <w:tr w:rsidR="00EC520D" w:rsidRPr="00EC520D" w:rsidTr="00240EDD">
        <w:trPr>
          <w:jc w:val="center"/>
        </w:trPr>
        <w:tc>
          <w:tcPr>
            <w:tcW w:w="3510" w:type="dxa"/>
          </w:tcPr>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Green Space Proposed </w:t>
            </w:r>
          </w:p>
        </w:tc>
        <w:tc>
          <w:tcPr>
            <w:tcW w:w="1710" w:type="dxa"/>
          </w:tcPr>
          <w:p w:rsidR="00EC520D" w:rsidRPr="00EC520D" w:rsidRDefault="00EC520D" w:rsidP="00EC520D">
            <w:pPr>
              <w:jc w:val="right"/>
              <w:rPr>
                <w:rFonts w:ascii="Gill Sans MT" w:hAnsi="Gill Sans MT" w:cs="Arial"/>
                <w:bCs/>
                <w:iCs/>
                <w:szCs w:val="24"/>
              </w:rPr>
            </w:pPr>
            <w:r w:rsidRPr="00EC520D">
              <w:rPr>
                <w:rFonts w:ascii="Gill Sans MT" w:hAnsi="Gill Sans MT" w:cs="Arial"/>
                <w:bCs/>
                <w:iCs/>
                <w:szCs w:val="24"/>
              </w:rPr>
              <w:t>27%</w:t>
            </w:r>
          </w:p>
        </w:tc>
      </w:tr>
    </w:tbl>
    <w:p w:rsidR="00EC520D" w:rsidRPr="00EC520D" w:rsidRDefault="00EC520D" w:rsidP="00EC520D">
      <w:pPr>
        <w:jc w:val="both"/>
        <w:rPr>
          <w:rFonts w:ascii="Gill Sans MT" w:hAnsi="Gill Sans MT" w:cs="Arial"/>
          <w:b/>
          <w:iCs/>
          <w:color w:val="0000CC"/>
          <w:szCs w:val="24"/>
          <w:u w:val="single"/>
        </w:rPr>
      </w:pPr>
    </w:p>
    <w:bookmarkEnd w:id="1"/>
    <w:p w:rsidR="00EC520D" w:rsidRPr="00EC520D" w:rsidRDefault="00EC520D" w:rsidP="00EC520D">
      <w:pPr>
        <w:jc w:val="both"/>
        <w:rPr>
          <w:rFonts w:ascii="Gill Sans MT" w:hAnsi="Gill Sans MT" w:cs="Arial"/>
          <w:bCs/>
          <w:iCs/>
          <w:szCs w:val="24"/>
        </w:rPr>
      </w:pPr>
      <w:r w:rsidRPr="00EC520D">
        <w:rPr>
          <w:rFonts w:ascii="Gill Sans MT" w:hAnsi="Gill Sans MT" w:cs="Arial"/>
          <w:bCs/>
          <w:iCs/>
          <w:szCs w:val="24"/>
        </w:rPr>
        <w:t xml:space="preserve">Construction traffic will enter the site from the south access on Winners Circle.  </w:t>
      </w:r>
    </w:p>
    <w:p w:rsidR="00EC520D" w:rsidRPr="00EC520D" w:rsidRDefault="00EC520D" w:rsidP="00EC520D">
      <w:pPr>
        <w:jc w:val="both"/>
        <w:rPr>
          <w:rFonts w:ascii="Gill Sans MT" w:hAnsi="Gill Sans MT" w:cs="Arial"/>
          <w:b/>
          <w:iCs/>
          <w:color w:val="0000CC"/>
          <w:szCs w:val="24"/>
          <w:u w:val="single"/>
        </w:rPr>
      </w:pPr>
    </w:p>
    <w:p w:rsidR="00EC520D" w:rsidRPr="00EC520D" w:rsidRDefault="00EC520D" w:rsidP="00EC520D">
      <w:pPr>
        <w:jc w:val="both"/>
        <w:rPr>
          <w:rFonts w:ascii="Gill Sans MT" w:hAnsi="Gill Sans MT" w:cs="Arial"/>
          <w:b/>
          <w:iCs/>
          <w:color w:val="0000CC"/>
          <w:szCs w:val="24"/>
          <w:u w:val="single"/>
        </w:rPr>
      </w:pPr>
      <w:r w:rsidRPr="00EC520D">
        <w:rPr>
          <w:rFonts w:ascii="Gill Sans MT" w:hAnsi="Gill Sans MT" w:cs="Arial"/>
          <w:bCs/>
          <w:iCs/>
          <w:szCs w:val="24"/>
        </w:rPr>
        <w:t>Section 78-457 of the Code require</w:t>
      </w:r>
      <w:r w:rsidR="00737419">
        <w:rPr>
          <w:rFonts w:ascii="Gill Sans MT" w:hAnsi="Gill Sans MT" w:cs="Arial"/>
          <w:bCs/>
          <w:iCs/>
          <w:szCs w:val="24"/>
        </w:rPr>
        <w:t>d</w:t>
      </w:r>
      <w:r w:rsidRPr="00EC520D">
        <w:rPr>
          <w:rFonts w:ascii="Gill Sans MT" w:hAnsi="Gill Sans MT" w:cs="Arial"/>
          <w:bCs/>
          <w:iCs/>
          <w:szCs w:val="24"/>
        </w:rPr>
        <w:t xml:space="preserve"> that sites that provide a total of 501 to 1,000 parking spaces set aside 2% of the total provided spaces or 18 for this site as accessible parking spaces.  </w:t>
      </w:r>
    </w:p>
    <w:p w:rsidR="00C9603F" w:rsidRDefault="00C9603F" w:rsidP="00C9603F">
      <w:pPr>
        <w:jc w:val="both"/>
        <w:outlineLvl w:val="0"/>
        <w:rPr>
          <w:rFonts w:ascii="Gill Sans MT" w:hAnsi="Gill Sans MT" w:cs="Arial"/>
          <w:szCs w:val="24"/>
        </w:rPr>
      </w:pPr>
    </w:p>
    <w:p w:rsidR="00B34C33" w:rsidRPr="00CF2808" w:rsidRDefault="007E69E4" w:rsidP="00C9603F">
      <w:pPr>
        <w:jc w:val="both"/>
        <w:outlineLvl w:val="0"/>
        <w:rPr>
          <w:rFonts w:ascii="Gill Sans MT" w:hAnsi="Gill Sans MT" w:cs="Arial"/>
          <w:szCs w:val="24"/>
        </w:rPr>
      </w:pPr>
      <w:r>
        <w:rPr>
          <w:rFonts w:ascii="Gill Sans MT" w:hAnsi="Gill Sans MT" w:cs="Arial"/>
          <w:szCs w:val="24"/>
        </w:rPr>
        <w:t xml:space="preserve">Mr. </w:t>
      </w:r>
      <w:r w:rsidR="00C9603F">
        <w:rPr>
          <w:rFonts w:ascii="Gill Sans MT" w:hAnsi="Gill Sans MT" w:cs="Arial"/>
          <w:szCs w:val="24"/>
        </w:rPr>
        <w:t>Pippin</w:t>
      </w:r>
      <w:r w:rsidR="00B34C33" w:rsidRPr="00CF2808">
        <w:rPr>
          <w:rFonts w:ascii="Gill Sans MT" w:hAnsi="Gill Sans MT" w:cs="Arial"/>
          <w:szCs w:val="24"/>
        </w:rPr>
        <w:t xml:space="preserve"> moved for approval of the proposed </w:t>
      </w:r>
      <w:r w:rsidR="00EC520D">
        <w:rPr>
          <w:rFonts w:ascii="Gill Sans MT" w:hAnsi="Gill Sans MT" w:cs="Arial"/>
          <w:szCs w:val="24"/>
        </w:rPr>
        <w:t>revised site plan</w:t>
      </w:r>
      <w:r w:rsidR="008E6DCD">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All water and sewer castings/boxes (manhole lids, valve boxes, cleanouts, etc.) shall be raised to final grade if grading adjustments occur within the grass or pavement.</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Any construction to the parking areas should not revise or impact the inbound or outbound traffic at each access.  Full access shall be maintained upon completion of the parking reconstruction.  </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The internal gates within the parking lots shall be removed. Gates should not be part of the parking reconstruction. </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A stormwater maintenance plan shall be provided with the future construction submittal, meeting City Code.</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A right of entry must be secured from the Property Owners Association (POA) for installation of the 15” reinforced Concrete Pipe (RCP).  The right of entry shall be secured before any permits will be issued for the project.  </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The applicant shall pay for the traffic impact study review, completed by the City’s transportation consultant, per the requirements of Section 50-29(b) of the Code. Payments must be made before any permits will be issued for the project. </w:t>
      </w:r>
    </w:p>
    <w:p w:rsidR="00EC520D" w:rsidRPr="00EC520D" w:rsidRDefault="00EC520D" w:rsidP="00EC520D">
      <w:pPr>
        <w:tabs>
          <w:tab w:val="left" w:pos="900"/>
        </w:tabs>
        <w:snapToGrid w:val="0"/>
        <w:ind w:left="360"/>
        <w:contextualSpacing/>
        <w:jc w:val="both"/>
        <w:rPr>
          <w:rFonts w:ascii="Gill Sans MT" w:hAnsi="Gill Sans MT" w:cs="Arial"/>
          <w:snapToGrid w:val="0"/>
          <w:szCs w:val="24"/>
        </w:rPr>
      </w:pPr>
    </w:p>
    <w:p w:rsid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lastRenderedPageBreak/>
        <w:t xml:space="preserve">A site plan shall be vested for a period of three years from the date of the original approval. </w:t>
      </w:r>
    </w:p>
    <w:p w:rsidR="00EC520D" w:rsidRPr="00EC520D" w:rsidRDefault="00EC520D" w:rsidP="00EC520D">
      <w:pPr>
        <w:tabs>
          <w:tab w:val="left" w:pos="900"/>
        </w:tabs>
        <w:snapToGrid w:val="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Add the following note to the site plan;</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r w:rsidRPr="00EC520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July 6, 2023, unless extended by the City of Brentwood.  Persons relying on this plan after said date should contact the City of Brentwood to determine if development may continue as depicted on the plan.  </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Remove the note on sheet C101 regarding the likely removal of trees near the entrance. </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w:t>
      </w:r>
      <w:r w:rsidRPr="00EC520D">
        <w:rPr>
          <w:rFonts w:ascii="Gill Sans MT" w:hAnsi="Gill Sans MT" w:cs="Arial"/>
          <w:snapToGrid w:val="0"/>
          <w:szCs w:val="24"/>
        </w:rPr>
        <w:lastRenderedPageBreak/>
        <w:t>Commission to address any deficiencies or unapproved modifications.  The project may also be subject to delays in issuance of permits, certificates of occupancy, recordation of plats or other project approvals.</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 xml:space="preserve">Complete plans shall be submitted to the Planning and Codes Department for review, approval and issuance of the required permits before any work is begun.  </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Any changes to plans approved by the Planning Commission will require staff review and re-approval by the Planning Commission.</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Development of this project shall comply with all applicable codes and ordinances of the City of Brentwood.</w:t>
      </w:r>
    </w:p>
    <w:p w:rsidR="00EC520D" w:rsidRPr="00EC520D" w:rsidRDefault="00EC520D" w:rsidP="00EC520D">
      <w:pPr>
        <w:tabs>
          <w:tab w:val="left" w:pos="900"/>
        </w:tabs>
        <w:snapToGrid w:val="0"/>
        <w:ind w:left="720"/>
        <w:contextualSpacing/>
        <w:jc w:val="both"/>
        <w:rPr>
          <w:rFonts w:ascii="Gill Sans MT" w:hAnsi="Gill Sans MT" w:cs="Arial"/>
          <w:snapToGrid w:val="0"/>
          <w:szCs w:val="24"/>
        </w:rPr>
      </w:pPr>
    </w:p>
    <w:p w:rsidR="00EC520D" w:rsidRPr="00EC520D" w:rsidRDefault="00EC520D" w:rsidP="00EC520D">
      <w:pPr>
        <w:numPr>
          <w:ilvl w:val="0"/>
          <w:numId w:val="10"/>
        </w:numPr>
        <w:tabs>
          <w:tab w:val="left" w:pos="900"/>
        </w:tabs>
        <w:snapToGrid w:val="0"/>
        <w:contextualSpacing/>
        <w:jc w:val="both"/>
        <w:rPr>
          <w:rFonts w:ascii="Gill Sans MT" w:hAnsi="Gill Sans MT" w:cs="Arial"/>
          <w:snapToGrid w:val="0"/>
          <w:szCs w:val="24"/>
        </w:rPr>
      </w:pPr>
      <w:r w:rsidRPr="00EC520D">
        <w:rPr>
          <w:rFonts w:ascii="Gill Sans MT" w:hAnsi="Gill Sans MT" w:cs="Arial"/>
          <w:snapToGrid w:val="0"/>
          <w:szCs w:val="24"/>
        </w:rPr>
        <w:t>Approval of the proposed plan shall be limited to the illustrations and plans presented to the Planning Commission for review and approval on July 6, 2020.  Any changes to Planning Commission approved plans and specifications will require staff review and re-approval by the Planning Commission.</w:t>
      </w:r>
    </w:p>
    <w:p w:rsidR="00C9603F" w:rsidRPr="00C9603F" w:rsidRDefault="00C9603F" w:rsidP="00EC520D">
      <w:pPr>
        <w:contextualSpacing/>
        <w:jc w:val="both"/>
        <w:rPr>
          <w:rFonts w:ascii="Gill Sans MT" w:hAnsi="Gill Sans MT" w:cs="Arial"/>
          <w:szCs w:val="24"/>
        </w:rPr>
      </w:pPr>
    </w:p>
    <w:p w:rsidR="00B34C33" w:rsidRPr="00CF2808" w:rsidRDefault="00EC520D" w:rsidP="00B34C33">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Mr. Oliver</w:t>
      </w:r>
      <w:r w:rsidR="00C64CCE">
        <w:rPr>
          <w:rStyle w:val="AGENDA1"/>
          <w:rFonts w:ascii="Gill Sans MT" w:hAnsi="Gill Sans MT"/>
          <w:b w:val="0"/>
          <w:i w:val="0"/>
          <w:color w:val="auto"/>
          <w:szCs w:val="24"/>
        </w:rPr>
        <w:t xml:space="preserve"> </w:t>
      </w:r>
      <w:r w:rsidR="00B34C33" w:rsidRPr="00CF2808">
        <w:rPr>
          <w:rStyle w:val="AGENDA1"/>
          <w:rFonts w:ascii="Gill Sans MT" w:hAnsi="Gill Sans MT"/>
          <w:b w:val="0"/>
          <w:i w:val="0"/>
          <w:color w:val="auto"/>
          <w:szCs w:val="24"/>
        </w:rPr>
        <w:t>seconded; motion was approved unanimously.</w:t>
      </w:r>
    </w:p>
    <w:p w:rsidR="00C7490D" w:rsidRDefault="00C7490D" w:rsidP="00102EFF">
      <w:pPr>
        <w:tabs>
          <w:tab w:val="left" w:pos="900"/>
        </w:tabs>
        <w:snapToGrid w:val="0"/>
        <w:contextualSpacing/>
        <w:jc w:val="both"/>
        <w:rPr>
          <w:rStyle w:val="AGENDA1"/>
          <w:rFonts w:ascii="Gill Sans MT" w:hAnsi="Gill Sans MT"/>
          <w:b w:val="0"/>
          <w:i w:val="0"/>
          <w:color w:val="auto"/>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8F6B28" w:rsidRPr="00CF2808" w:rsidRDefault="008F6B28" w:rsidP="008F6B28">
      <w:pPr>
        <w:jc w:val="both"/>
        <w:rPr>
          <w:rFonts w:ascii="Gill Sans MT" w:hAnsi="Gill Sans MT" w:cs="Arial"/>
          <w:szCs w:val="24"/>
        </w:rPr>
      </w:pPr>
      <w:r w:rsidRPr="00CF2808">
        <w:rPr>
          <w:rFonts w:ascii="Gill Sans MT" w:hAnsi="Gill Sans MT" w:cs="Arial"/>
          <w:szCs w:val="24"/>
        </w:rPr>
        <w:t xml:space="preserve">Mr. </w:t>
      </w:r>
      <w:r>
        <w:rPr>
          <w:rFonts w:ascii="Gill Sans MT" w:hAnsi="Gill Sans MT" w:cs="Arial"/>
          <w:szCs w:val="24"/>
        </w:rPr>
        <w:t>Pipp</w:t>
      </w:r>
      <w:r w:rsidR="00277DAC">
        <w:rPr>
          <w:rFonts w:ascii="Gill Sans MT" w:hAnsi="Gill Sans MT" w:cs="Arial"/>
          <w:szCs w:val="24"/>
        </w:rPr>
        <w:t>i</w:t>
      </w:r>
      <w:r>
        <w:rPr>
          <w:rFonts w:ascii="Gill Sans MT" w:hAnsi="Gill Sans MT" w:cs="Arial"/>
          <w:szCs w:val="24"/>
        </w:rPr>
        <w:t>n</w:t>
      </w:r>
      <w:r w:rsidRPr="00CF2808">
        <w:rPr>
          <w:rFonts w:ascii="Gill Sans MT" w:hAnsi="Gill Sans MT" w:cs="Arial"/>
          <w:szCs w:val="24"/>
        </w:rPr>
        <w:t xml:space="preserve"> moved for approval of the monthly security report; seconded by </w:t>
      </w:r>
      <w:r w:rsidR="00EC520D">
        <w:rPr>
          <w:rFonts w:ascii="Gill Sans MT" w:hAnsi="Gill Sans MT" w:cs="Arial"/>
          <w:szCs w:val="24"/>
        </w:rPr>
        <w:t>Mr. Oliver</w:t>
      </w:r>
      <w:r w:rsidRPr="00CF2808">
        <w:rPr>
          <w:rFonts w:ascii="Gill Sans MT" w:hAnsi="Gill Sans MT" w:cs="Arial"/>
          <w:szCs w:val="24"/>
        </w:rPr>
        <w:t>.   Approval was unanimous.</w:t>
      </w:r>
    </w:p>
    <w:p w:rsidR="00640EF8" w:rsidRPr="00CF280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E6DCD">
        <w:rPr>
          <w:rFonts w:ascii="Gill Sans MT" w:hAnsi="Gill Sans MT" w:cs="Arial"/>
          <w:szCs w:val="24"/>
        </w:rPr>
        <w:t>7</w:t>
      </w:r>
      <w:r w:rsidR="00BC3463" w:rsidRPr="00CF2808">
        <w:rPr>
          <w:rFonts w:ascii="Gill Sans MT" w:hAnsi="Gill Sans MT" w:cs="Arial"/>
          <w:szCs w:val="24"/>
        </w:rPr>
        <w:t>:</w:t>
      </w:r>
      <w:r w:rsidR="00EC520D">
        <w:rPr>
          <w:rFonts w:ascii="Gill Sans MT" w:hAnsi="Gill Sans MT" w:cs="Arial"/>
          <w:szCs w:val="24"/>
        </w:rPr>
        <w:t>43</w:t>
      </w:r>
      <w:r w:rsidR="00E357D9" w:rsidRPr="00CF2808">
        <w:rPr>
          <w:rFonts w:ascii="Gill Sans MT" w:hAnsi="Gill Sans MT" w:cs="Arial"/>
          <w:szCs w:val="24"/>
        </w:rPr>
        <w:t xml:space="preserve"> pm.</w:t>
      </w:r>
    </w:p>
    <w:p w:rsidR="00E40684" w:rsidRPr="00CF2808" w:rsidRDefault="00E40684" w:rsidP="0014004E">
      <w:pPr>
        <w:jc w:val="both"/>
        <w:rPr>
          <w:rFonts w:ascii="Gill Sans MT" w:hAnsi="Gill Sans MT" w:cs="Arial"/>
          <w:szCs w:val="24"/>
        </w:rPr>
      </w:pP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1E58BA">
        <w:rPr>
          <w:rFonts w:ascii="Gill Sans MT" w:hAnsi="Gill Sans MT" w:cs="Arial"/>
          <w:szCs w:val="24"/>
        </w:rPr>
        <w:t>August 3, 2020</w:t>
      </w:r>
      <w:bookmarkStart w:id="2" w:name="_GoBack"/>
      <w:bookmarkEnd w:id="2"/>
      <w:r w:rsidR="00701B27" w:rsidRPr="00CF2808">
        <w:rPr>
          <w:rFonts w:ascii="Gill Sans MT" w:hAnsi="Gill Sans MT" w:cs="Arial"/>
          <w:szCs w:val="24"/>
        </w:rPr>
        <w:tab/>
      </w:r>
      <w:r w:rsidR="00701B27" w:rsidRPr="00CF2808">
        <w:rPr>
          <w:rFonts w:ascii="Gill Sans MT" w:hAnsi="Gill Sans MT" w:cs="Arial"/>
          <w:szCs w:val="24"/>
        </w:rPr>
        <w:tab/>
      </w:r>
      <w:r w:rsidR="00640EF8" w:rsidRPr="00373795">
        <w:rPr>
          <w:rFonts w:ascii="Lucida Handwriting" w:hAnsi="Lucida Handwriting"/>
          <w:sz w:val="32"/>
          <w:szCs w:val="32"/>
          <w:u w:val="single"/>
        </w:rPr>
        <w:t>Holly Earls</w:t>
      </w:r>
      <w:r w:rsidR="00DF0A44" w:rsidRPr="00CF2808">
        <w:rPr>
          <w:rFonts w:ascii="Gill Sans MT" w:hAnsi="Gill Sans MT" w:cs="Arial"/>
          <w:szCs w:val="24"/>
          <w:u w:val="single"/>
        </w:rPr>
        <w:tab/>
      </w:r>
      <w:r w:rsidR="00FD25F8" w:rsidRPr="00CF2808">
        <w:rPr>
          <w:rFonts w:ascii="Gill Sans MT" w:hAnsi="Gill Sans MT" w:cs="Arial"/>
          <w:szCs w:val="24"/>
        </w:rPr>
        <w:t>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01" w:rsidRPr="00643A25" w:rsidRDefault="00BF1301">
      <w:pPr>
        <w:rPr>
          <w:sz w:val="16"/>
          <w:szCs w:val="16"/>
        </w:rPr>
      </w:pPr>
      <w:r w:rsidRPr="00643A25">
        <w:rPr>
          <w:sz w:val="16"/>
          <w:szCs w:val="16"/>
        </w:rPr>
        <w:separator/>
      </w:r>
    </w:p>
  </w:endnote>
  <w:endnote w:type="continuationSeparator" w:id="0">
    <w:p w:rsidR="00BF1301" w:rsidRPr="00643A25" w:rsidRDefault="00BF1301">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581799172"/>
      <w:docPartObj>
        <w:docPartGallery w:val="Page Numbers (Bottom of Page)"/>
        <w:docPartUnique/>
      </w:docPartObj>
    </w:sdtPr>
    <w:sdtEndPr>
      <w:rPr>
        <w:rFonts w:cs="Arial"/>
        <w:noProof/>
      </w:rPr>
    </w:sdtEndPr>
    <w:sdtContent>
      <w:p w:rsidR="00BF1301" w:rsidRPr="008F6B28" w:rsidRDefault="00BF1301">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rsidR="00BF1301" w:rsidRDefault="00BF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643A25" w:rsidRDefault="00BF1301">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BF1301" w:rsidRPr="00643A25" w:rsidRDefault="00BF130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01" w:rsidRPr="00643A25" w:rsidRDefault="00BF1301">
      <w:pPr>
        <w:rPr>
          <w:sz w:val="16"/>
          <w:szCs w:val="16"/>
        </w:rPr>
      </w:pPr>
      <w:r w:rsidRPr="00643A25">
        <w:rPr>
          <w:sz w:val="16"/>
          <w:szCs w:val="16"/>
        </w:rPr>
        <w:separator/>
      </w:r>
    </w:p>
  </w:footnote>
  <w:footnote w:type="continuationSeparator" w:id="0">
    <w:p w:rsidR="00BF1301" w:rsidRPr="00643A25" w:rsidRDefault="00BF1301">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BF1301" w:rsidRPr="005C7287" w:rsidRDefault="00BF1301">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BF1301" w:rsidRDefault="00BF1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01" w:rsidRPr="00CE6C77" w:rsidRDefault="00BF1301">
    <w:pPr>
      <w:pStyle w:val="Header"/>
      <w:jc w:val="center"/>
      <w:rPr>
        <w:sz w:val="40"/>
        <w:szCs w:val="40"/>
      </w:rPr>
    </w:pPr>
  </w:p>
  <w:p w:rsidR="00BF1301" w:rsidRDefault="00BF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6D24"/>
    <w:multiLevelType w:val="hybridMultilevel"/>
    <w:tmpl w:val="8AF68CDE"/>
    <w:lvl w:ilvl="0" w:tplc="D1E24DB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20992"/>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20E2A"/>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81A2D"/>
    <w:multiLevelType w:val="hybridMultilevel"/>
    <w:tmpl w:val="CD142052"/>
    <w:lvl w:ilvl="0" w:tplc="4B80FA84">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57E53"/>
    <w:multiLevelType w:val="hybridMultilevel"/>
    <w:tmpl w:val="2292BF42"/>
    <w:lvl w:ilvl="0" w:tplc="C972D27C">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C1B5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7836"/>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DF1BE5"/>
    <w:multiLevelType w:val="hybridMultilevel"/>
    <w:tmpl w:val="CA1AFCB6"/>
    <w:lvl w:ilvl="0" w:tplc="F6FA9A66">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261C8"/>
    <w:multiLevelType w:val="hybridMultilevel"/>
    <w:tmpl w:val="11E85316"/>
    <w:lvl w:ilvl="0" w:tplc="10667646">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8BA"/>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CE8C06A"/>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6627-DAB2-478D-ABBF-EFBCE15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6860</Words>
  <Characters>36110</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2020-07-08T12:51:00Z</dcterms:created>
  <dcterms:modified xsi:type="dcterms:W3CDTF">2020-08-04T16:18:00Z</dcterms:modified>
</cp:coreProperties>
</file>